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 w:lineRule="atLeast"/>
        <w:jc w:val="center"/>
        <w:outlineLvl w:val="3"/>
        <w:rPr>
          <w:color w:val="auto"/>
          <w:highlight w:val="none"/>
        </w:rPr>
      </w:pPr>
      <w:bookmarkStart w:id="2" w:name="_GoBack"/>
      <w:bookmarkEnd w:id="2"/>
      <w:r>
        <w:rPr>
          <w:rFonts w:hint="eastAsia" w:ascii="宋体" w:hAnsi="宋体" w:cs="宋体"/>
          <w:b/>
          <w:bCs/>
          <w:color w:val="auto"/>
          <w:sz w:val="36"/>
          <w:highlight w:val="none"/>
        </w:rPr>
        <w:t>采购需求</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一、项目概况</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根据国务院办公厅发布的首个供应链政策（国务院办公厅关于积极推进供应链创新与应用的指导意见－国办发〔2017〕84号）文件中的第四项保障措施中的第五点明确指出：“加快培养多层次供应链人才。支持高等院校和职业学校设置供应链相关专业和课程，培养供应链专业人才。鼓励相关企业和专业机构加强供应链人才培训。创新供应链人才激励机制，加强国际化的人才流动与管理，吸引和聚集世界优秀供应链人才。”</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带一路”新时期战略思想的指导下，随着产业转型升级和生产性服务业的快速发展，企业对员工技能培训提出更高的要求。如何在“一带一路”新时期战略思想的指导下，跟紧产业发展的步伐，适应新时期的产业发展；如何在当今“信息化”时代结合大数据分析管理体系，培养适合企业发展的专业性人才将是学校教学的首要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电机控制系统转向助力及电气控制系统实训平台技能培训是高校技能类专业一门重要的专业核心课程，该课程学习形成的管理基本理念也是学生未来职业生涯中不可或缺的管理思维，也为未来从事相关岗位工作的学生培养团队合作精神、抗压精神和沟通能力等职业素养。</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原有的技能培训教学基本上以理论加案例的学习形式为主，无论教材还是课程资源都已经不能适应企业对供应链相关岗位技能要求。如何在教学过程中实现理实结合进行教学，如何实现教学做一体化教学模式是当前教学改革的重点工作；因此，技能手操相关课程教学急需一套适应新时期企业相应岗位的实训系统。传统的技能教学中，基本上以教师的为主，学生主动学习积极性不高，若能辅以一些使用真实实验平台系统为背景的实战模拟系统以及以工作任务为驱动的项目式实训系统，学生学习的主动性便会大幅提高。</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预计电机控制系统转向助力及电气控制系统实训平台投入使用以后，既能满足专业建设需要，也能满足实践教学需要，使学习内容与岗位要求直接对接，提升这些课程教学质量，提高学生主动学习的兴趣。有助于提高学生对电机控制系统的实际操作能力和检修能力。在这个过程中让学生运用电气相关知识，充分运用所学的知识高效执行相关操作。通过平台的使用能从理论、技能层面综合培养学生的各方面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从贴近教学入手，实现技能相关知识的学习和沉淀，提升学生技能的实战能力和综合运营素质，从知识、技能、素质三个层面实现以下教学目标：</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rPr>
        <w:tab/>
      </w:r>
      <w:r>
        <w:rPr>
          <w:rFonts w:hint="eastAsia" w:ascii="宋体" w:hAnsi="宋体" w:cs="宋体"/>
          <w:color w:val="auto"/>
          <w:szCs w:val="21"/>
          <w:highlight w:val="none"/>
        </w:rPr>
        <w:t>知识层面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能熟练掌握电机控制系统转向助力及电气控制系统实训专业教学质量，</w:t>
      </w:r>
      <w:bookmarkStart w:id="0" w:name="OLE_LINK15"/>
      <w:bookmarkStart w:id="1" w:name="OLE_LINK14"/>
      <w:r>
        <w:rPr>
          <w:rFonts w:hint="eastAsia" w:ascii="宋体" w:hAnsi="宋体" w:cs="宋体"/>
          <w:color w:val="auto"/>
          <w:szCs w:val="21"/>
          <w:highlight w:val="none"/>
        </w:rPr>
        <w:t>以及配合省学测考试和职教高考技能考试的需求</w:t>
      </w:r>
      <w:bookmarkEnd w:id="0"/>
      <w:bookmarkEnd w:id="1"/>
      <w:r>
        <w:rPr>
          <w:rFonts w:hint="eastAsia" w:ascii="宋体" w:hAnsi="宋体" w:cs="宋体"/>
          <w:color w:val="auto"/>
          <w:szCs w:val="21"/>
          <w:highlight w:val="none"/>
        </w:rPr>
        <w:t>。</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(二)</w:t>
      </w:r>
      <w:r>
        <w:rPr>
          <w:rFonts w:hint="eastAsia" w:ascii="宋体" w:hAnsi="宋体" w:cs="宋体"/>
          <w:color w:val="auto"/>
          <w:szCs w:val="21"/>
          <w:highlight w:val="none"/>
        </w:rPr>
        <w:tab/>
      </w:r>
      <w:r>
        <w:rPr>
          <w:rFonts w:hint="eastAsia" w:ascii="宋体" w:hAnsi="宋体" w:cs="宋体"/>
          <w:color w:val="auto"/>
          <w:szCs w:val="21"/>
          <w:highlight w:val="none"/>
        </w:rPr>
        <w:t>技能层面</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在一定程度上提高了学生的实践动手能力和创新能力。</w:t>
      </w:r>
    </w:p>
    <w:p>
      <w:pPr>
        <w:spacing w:line="360" w:lineRule="auto"/>
        <w:ind w:firstLine="480" w:firstLineChars="200"/>
        <w:rPr>
          <w:rFonts w:ascii="宋体" w:hAnsi="宋体" w:cs="宋体"/>
          <w:color w:val="auto"/>
          <w:szCs w:val="21"/>
          <w:highlight w:val="none"/>
        </w:rPr>
      </w:pPr>
      <w:r>
        <w:rPr>
          <w:rFonts w:hint="eastAsia" w:ascii="宋体" w:hAnsi="宋体" w:cs="宋体"/>
          <w:color w:val="auto"/>
          <w:szCs w:val="21"/>
          <w:highlight w:val="none"/>
        </w:rPr>
        <w:t>(三)</w:t>
      </w:r>
      <w:r>
        <w:rPr>
          <w:rFonts w:hint="eastAsia" w:ascii="宋体" w:hAnsi="宋体" w:cs="宋体"/>
          <w:color w:val="auto"/>
          <w:szCs w:val="21"/>
          <w:highlight w:val="none"/>
        </w:rPr>
        <w:tab/>
      </w:r>
      <w:r>
        <w:rPr>
          <w:rFonts w:hint="eastAsia" w:ascii="宋体" w:hAnsi="宋体" w:cs="宋体"/>
          <w:color w:val="auto"/>
          <w:szCs w:val="21"/>
          <w:highlight w:val="none"/>
        </w:rPr>
        <w:t>素质层面</w:t>
      </w:r>
    </w:p>
    <w:p>
      <w:pPr>
        <w:spacing w:line="360" w:lineRule="auto"/>
        <w:ind w:firstLine="480" w:firstLineChars="200"/>
        <w:rPr>
          <w:rFonts w:ascii="宋体" w:hAnsi="宋体" w:cs="宋体"/>
          <w:b/>
          <w:color w:val="auto"/>
          <w:szCs w:val="21"/>
          <w:highlight w:val="none"/>
        </w:rPr>
      </w:pPr>
      <w:r>
        <w:rPr>
          <w:rFonts w:hint="eastAsia" w:ascii="宋体" w:hAnsi="宋体" w:cs="宋体"/>
          <w:color w:val="auto"/>
          <w:szCs w:val="21"/>
          <w:highlight w:val="none"/>
        </w:rPr>
        <w:t>能培养学生严谨周密的思维方式、系统化的思维能力、整体运行的全局观、分析和规划设计的能力。</w:t>
      </w: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二、主要标的</w:t>
      </w:r>
    </w:p>
    <w:p>
      <w:pPr>
        <w:spacing w:after="166" w:afterLines="50" w:line="320" w:lineRule="exact"/>
        <w:ind w:firstLine="480" w:firstLineChars="200"/>
        <w:rPr>
          <w:rFonts w:ascii="宋体" w:hAnsi="宋体" w:cs="宋体"/>
          <w:color w:val="auto"/>
          <w:szCs w:val="21"/>
          <w:highlight w:val="none"/>
        </w:rPr>
      </w:pPr>
      <w:r>
        <w:rPr>
          <w:rFonts w:hint="eastAsia" w:ascii="宋体" w:hAnsi="宋体" w:cs="宋体"/>
          <w:color w:val="auto"/>
          <w:szCs w:val="21"/>
          <w:highlight w:val="none"/>
        </w:rPr>
        <w:t>1.货物：</w:t>
      </w:r>
    </w:p>
    <w:tbl>
      <w:tblPr>
        <w:tblStyle w:val="26"/>
        <w:tblW w:w="8395" w:type="dxa"/>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5"/>
        <w:gridCol w:w="851"/>
        <w:gridCol w:w="2977"/>
        <w:gridCol w:w="1559"/>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977"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1559"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323" w:type="dxa"/>
            <w:shd w:val="clear" w:color="auto" w:fill="BFBFBF"/>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宋体"/>
                <w:color w:val="auto"/>
                <w:szCs w:val="21"/>
                <w:highlight w:val="none"/>
              </w:rPr>
            </w:pPr>
            <w:r>
              <w:rPr>
                <w:rFonts w:hint="eastAsia" w:ascii="宋体" w:hAnsi="宋体" w:cs="Times New Roman"/>
                <w:color w:val="auto"/>
                <w:kern w:val="2"/>
                <w:sz w:val="21"/>
                <w:szCs w:val="24"/>
                <w:highlight w:val="none"/>
              </w:rPr>
              <w:t>电机控制系统实训考核台（分控联动）</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155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电动转向助力系统实训考核台（分控联动）</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155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685" w:type="dxa"/>
            <w:vAlign w:val="center"/>
          </w:tcPr>
          <w:p>
            <w:pPr>
              <w:jc w:val="center"/>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电气系统实训台（分控联动）</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套</w:t>
            </w:r>
          </w:p>
        </w:tc>
        <w:tc>
          <w:tcPr>
            <w:tcW w:w="2977" w:type="dxa"/>
            <w:vAlign w:val="center"/>
          </w:tcPr>
          <w:p>
            <w:pPr>
              <w:jc w:val="center"/>
              <w:rPr>
                <w:rFonts w:ascii="宋体" w:hAnsi="宋体" w:cs="宋体"/>
                <w:color w:val="auto"/>
                <w:szCs w:val="21"/>
                <w:highlight w:val="none"/>
              </w:rPr>
            </w:pPr>
          </w:p>
        </w:tc>
        <w:tc>
          <w:tcPr>
            <w:tcW w:w="155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85" w:type="dxa"/>
            <w:vAlign w:val="center"/>
          </w:tcPr>
          <w:p>
            <w:pPr>
              <w:jc w:val="center"/>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配套安装调试</w:t>
            </w:r>
          </w:p>
        </w:tc>
        <w:tc>
          <w:tcPr>
            <w:tcW w:w="851"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w:t>
            </w:r>
          </w:p>
        </w:tc>
        <w:tc>
          <w:tcPr>
            <w:tcW w:w="2977" w:type="dxa"/>
            <w:vAlign w:val="center"/>
          </w:tcPr>
          <w:p>
            <w:pPr>
              <w:jc w:val="center"/>
              <w:rPr>
                <w:rFonts w:ascii="宋体" w:hAnsi="宋体" w:cs="宋体"/>
                <w:color w:val="auto"/>
                <w:szCs w:val="21"/>
                <w:highlight w:val="none"/>
              </w:rPr>
            </w:pPr>
          </w:p>
        </w:tc>
        <w:tc>
          <w:tcPr>
            <w:tcW w:w="1559"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323"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w:t>
            </w:r>
          </w:p>
        </w:tc>
      </w:tr>
    </w:tbl>
    <w:p>
      <w:pPr>
        <w:pStyle w:val="4"/>
        <w:jc w:val="both"/>
        <w:rPr>
          <w:color w:val="auto"/>
          <w:highlight w:val="none"/>
        </w:rPr>
        <w:sectPr>
          <w:footerReference r:id="rId3" w:type="default"/>
          <w:pgSz w:w="11906" w:h="16838"/>
          <w:pgMar w:top="1417" w:right="1466" w:bottom="1417" w:left="1560" w:header="851" w:footer="992" w:gutter="0"/>
          <w:cols w:space="720" w:num="1"/>
          <w:docGrid w:type="lines" w:linePitch="333" w:charSpace="0"/>
        </w:sectPr>
      </w:pPr>
    </w:p>
    <w:p>
      <w:pPr>
        <w:shd w:val="clear" w:color="auto" w:fill="FFFFFF"/>
        <w:spacing w:line="320" w:lineRule="exact"/>
        <w:ind w:firstLine="482" w:firstLineChars="200"/>
        <w:rPr>
          <w:rFonts w:ascii="黑体" w:hAnsi="黑体" w:eastAsia="黑体" w:cs="Arial"/>
          <w:b/>
          <w:color w:val="auto"/>
          <w:highlight w:val="none"/>
        </w:rPr>
      </w:pPr>
      <w:r>
        <w:rPr>
          <w:rFonts w:hint="eastAsia" w:ascii="黑体" w:hAnsi="黑体" w:eastAsia="黑体" w:cs="Arial"/>
          <w:b/>
          <w:color w:val="auto"/>
          <w:highlight w:val="none"/>
        </w:rPr>
        <w:t>三、技术要求</w:t>
      </w:r>
    </w:p>
    <w:tbl>
      <w:tblPr>
        <w:tblStyle w:val="26"/>
        <w:tblpPr w:leftFromText="180" w:rightFromText="180" w:vertAnchor="text" w:horzAnchor="page" w:tblpX="1411" w:tblpY="1158"/>
        <w:tblOverlap w:val="never"/>
        <w:tblW w:w="519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965"/>
        <w:gridCol w:w="77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D0CECE"/>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序号</w:t>
            </w:r>
          </w:p>
        </w:tc>
        <w:tc>
          <w:tcPr>
            <w:tcW w:w="515"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　称</w:t>
            </w:r>
          </w:p>
        </w:tc>
        <w:tc>
          <w:tcPr>
            <w:tcW w:w="4119" w:type="pct"/>
            <w:shd w:val="clear" w:color="auto" w:fill="D0CECE"/>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1</w:t>
            </w:r>
          </w:p>
        </w:tc>
        <w:tc>
          <w:tcPr>
            <w:tcW w:w="515" w:type="pct"/>
            <w:shd w:val="clear" w:color="auto" w:fill="FFFFFF"/>
            <w:vAlign w:val="center"/>
          </w:tcPr>
          <w:p>
            <w:pPr>
              <w:autoSpaceDE w:val="0"/>
              <w:autoSpaceDN w:val="0"/>
              <w:adjustRightInd w:val="0"/>
              <w:spacing w:before="99" w:beforeLines="30" w:line="360" w:lineRule="auto"/>
              <w:jc w:val="center"/>
              <w:rPr>
                <w:rFonts w:ascii="宋体" w:hAnsi="宋体" w:cs="宋体"/>
                <w:b/>
                <w:bCs/>
                <w:color w:val="auto"/>
                <w:szCs w:val="21"/>
                <w:highlight w:val="none"/>
                <w:lang w:val="zh-CN"/>
              </w:rPr>
            </w:pPr>
            <w:r>
              <w:rPr>
                <w:rFonts w:hint="eastAsia" w:ascii="宋体" w:hAnsi="宋体" w:cs="Times New Roman"/>
                <w:color w:val="auto"/>
                <w:kern w:val="2"/>
                <w:sz w:val="21"/>
                <w:szCs w:val="24"/>
                <w:highlight w:val="none"/>
              </w:rPr>
              <w:t>电机控制系统实训考核台（分控联动）</w:t>
            </w:r>
          </w:p>
        </w:tc>
        <w:tc>
          <w:tcPr>
            <w:tcW w:w="4119" w:type="pct"/>
            <w:shd w:val="clear" w:color="auto" w:fill="FFFFFF"/>
            <w:vAlign w:val="center"/>
          </w:tcPr>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一、驱动电机控制实训测试平台功能要求：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1、驱动电机控制系统实训测试平台主框架采用铝型材拼装而成，台面采用实木颗粒板，台面下安装有烤漆面板制成的储物柜， 面板采用铝塑板材质，并喷绘系统线路原理图，实训测试平台下安装有万向脚轮，方便移动。</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实训测试平台面板上均绘制系统线路图，包括驱动电机控制系统线路，在线路图板上相应位置要求安装发光二极管，用于指示故障部位和故障性质。在教学模式下设置故障时，相对应的故障点指示灯会以不同的颜色自动点亮；而在考核模式下，该故障点指示灯不会点亮；各故障设置模块之间要求采用无线模式进行数据传输。</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3、要求在线路图板上相应位置安装端子电压测量孔，要求控制模块和器件端各安装一个测量孔，方便测量所有关键信号的实时电压，方便连接示波器、万用表等测量工具。</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4、要求实训测试平台配置端子电压信号采集装置、学生测试终端信号发送装置、故障设置信号发送装置。</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5、要求平台配备一台多媒体PC机用于安装多媒体交互式教学系统，PC机和测试平台内的端子电压信号采集装置、学生测试终端信号发送装置、故障设置信号发送装置之间实时进行通讯。</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二、驱动电机控制实训测试平台规格要求：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1、要求实训测试平台规格要求：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（1）外形尺寸（长×宽×高）：≥ 1390*800*1720（毫米)；</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（2）面板尺寸（长×宽×厚）：≥ 1150*820*4（毫米)；</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（3）铝型材规格：8-4080W、8-4040L、8-8840R；所有承重连接部位采用螺丝套扣工艺进行组装，不使用铝型材连接件及角件进行组装；</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（4）脚轮规格：4英寸总高120毫米，四轮万向带刹车，每轮承重150kg。</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2、专用连接线束要求：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（1）要求配备一根专用连接线束，与剖视整车交互式模块之间进行信号连接。</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采用汽车专用导线德标制作，线径符合原车线路要求，线束外采用高耐磨、可伸缩的网套管进行保护，两端采用符合国标的航空插头连接，允许反复插拔；每条线束的航空插头要根据情况做适当区分，避免线束随意连接而损坏设备</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一、总体技术要求：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驱动电机多媒体交互式教学系统由交互式控制平台、交互式课程平台、交互式理论及实训考核平台、教学纸质资料，部署在驱动电机实训测试平台的多媒体PC端，通过剖视整车交互式模块与整车和实训组成；与整车和测试平台之间实时互动；采用不涉及知识产权的软件管理平台+数据库的结构提供该教学系统，允许教师对课程适当进行编辑；</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2、要求系统能够与剖视整车交互式模块的故障设置装置、数据采集装置、数据发送装置、数据测量装置等线路板进行实时通讯，并实现对车辆的运行控制，并且运行稳定可靠。</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所有课程需要和纯电动整车实训系统充分结合、相互对应，而不是简单的PPT或者其他类似的形式；要求通过课程可以设置系统线路故障，可以采集原车的实时电压信号，可以进行课堂讲解、课堂提问（随堂考核）、理论和实训考核；</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系统整体按照“课程导学”、“课程讲学”、“课程实训”三个部分进行布局。“课程导学”包括“课程目标”、“课程大纲”、“学时安排”和“教学方法”；“课程讲学”包括“教学课件”和“理论考核”，要求按照教学大纲罗列出每节课应完成的讲授和理论考核内容，要求内容完整、调理、规范、恰当，要求理论考核系统有不低于100道的试题库，并配备标准答案，能帮助老师按照教学大纲和课程讲学中的内容完成相关教学任务；“课程实训”包括“故障设置”和“实训考核”，实训考核要求每个系统至少具备三个故障现象，每个现象下可以设置至少3个故障点；</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5、要求配备教学纸质资料，内容内容与交互式课程内容一致，包含教师参考资料（教材）；（学材）课堂工作页（学材）、实训工作页（学材）；</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二、软件管理平台技术要求：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软件管理平台采用主流程序进行开发，系统稳定、界面友好、操作方便，和数据库文件配合后，可以实现课堂教学、理论考核、实训考核、故障设置等功能，同时可以浏览课程教学大纲、课程内容，也可以实现师生间的互动；</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2、要求平台可以通过路径设置，即可以访问本地数据库，也可以通过局域网访问远程数据库，便于多人同时学习课程内容；</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平台设置各种权限，教师通过“增加页面”功能，对课件内容进行添加和补充，例如文字、图片、动画、视频等；能设置考试方式，能查看考核过程和汇总结果；而“学生”只能浏览课件内容、参加考核、查看自己的考核过程和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在课堂教学、实训考核、故障设置功能模块下，可以实现软件和整车和实训测试平台之间的实时互动，即可以通过软件控制车辆系统的运行，包括点火开关、加速踏板、制动踏板的控制，也可以通过软件采集原车系统的运行参数，用数字表、指针表或波形等恰当的方式显示出来，提高教学过程的真实感；</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5、要求平台系统可远程提供升级维护服务。</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三、课堂讲学系统技术要求：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课堂讲学系统和课堂工作页内容一致，按照课程大纲完成“理实一体化”教和学的环节；要求课堂讲学系统按照学生培养的思维模式及维修诊断标准流程，过程尽可能详尽、思路尽可能清晰、素材尽可能全面，课件中应包含适当的图片、动画及必要的文字来展现汽车各系统的结构特点、工作原理、检测和维修方法，有利于教师进行原理课及实践课的课堂讲授工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2、要求课堂讲学系统分为“认知篇”和“检测篇”两部分，供不同学期或不同教学模式使用；</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3、要求在认知篇内，系统应完整讲述所有系统或相关传感器、执行器、控制模块等部件的结构和工作原理，具体包括作用、安装位置、结构特点、工作原理、线路分析等，尽可能详尽完整；</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4、要求在检测篇内，应系统讲述故障影响、测试设备使用、测试过程、结果分析等主要内容，以培养学生分析和解决问题的思路；</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5、要求在认知篇和检测篇内，应根据教学需要，在故障设置、测试过程、线路分析等页面均要求和教学设备进行交互通讯，屏幕上应显示相关线路图，关键管脚信号用数字表、指针表、示波器显示信号状态；</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6、要求在交互页面，可以通过点击屏幕上的控制按钮完成对车辆或系统进行必要的控制；</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7、要求在交互页面，通过点击线路图中的故障设置按钮可以设置各种线路虚接、断路故障；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8、要求在交互页面，通过点击线路图中传感器、执行器、或控制单元的管脚可以获取此管脚定义、电压特征描述和当前的实时电压值；</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9、要求在交互页面，可以实时采集各传感器、 执行器及控制模块的信号，关键管脚信号定值电压用数字或指针显示，动态电压用波形显示；</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10、要求交互页面中的波形显示要能够对波形显示的幅值进行调整，方便观察和分析。</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11、要求在教师讲完每个单元内容后，系统会自动进入随堂考核界面，学生可通过终端完成答题，学生可自行下载终端APP，终端上可以同步显示学生回答的试题题干、可选项以及必要的操作提示；要求系统自动记录所有学生的答题信息并判断正确与否，要求系统提供标准答案。</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四、理论考核系统技术要求：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理论考核系统能完成汽车专业的整车或各个系统的构造、工作原理、检测和维修理论的考核，要求用文字的形式完成包括实际操作的考核过程，应包含师生信息管理、试题（派发）生成、考试评判和档案合成四大功能；</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师生信息管理系统包含按权限登录、密码账户查询、院系和班级信息录入、修改学生信息、考试生成、考核结果查询等功能，系统可允许指导教师、考生按照特定的用户名和密码登录，分别拥有不同的权限，允许教师对试题库进行编辑或修改，允许指导教师对学生的身份信息进行编辑或修改、对考试的时长和难度进行编辑或修改，系统只允许考生答题或查询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教师通过试题（派发）生成系统，选择和教学内容、考试大纲相符合的理论课程试题，每个知识点包含3道以上难度相当的试题，计算机会根据教师选择的试题，组成完整试卷进行考核，本系统的试题库和管理系统相互独立，该管理系统允许教师修改或录入新的试题，使之适应任何一个课程的标准化考核需要；</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在学生答题过程中，系统应同时对学生的答案进行评判，并根据参加考试的次数和正确与否自动评分，学生的答题过程和评判过程要记录到数据库，在考生提交所有答卷后，系统要自动生成考试结果记录在系统后台，学生可以查询自己的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5、要求档案合成系统应可以再现每个学生的成绩单和整个班级的成绩单；每个学生的成绩单应包含学生的个人信息、考试过程和评判信息；而整个班级的成绩单只包含每个人的身份信息和考试结果。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五、实训考核系统技术要求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实训考核系统可以将数据库管理系统和教学平台有机结合在一起，让学生在真实环境下进行考核，目的是为了考核学生分析和解决实际问题的能力，通过一个典型故障的诊断过程，考察学生应该掌握的知识和技能是否达到教学需求，系统应包含师生信息管理、试题（派发）生成、考试评判和档案合成；</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要求师生信息管理系统包含按权限登录、密码账户查询、院系和班级信息录入、修改学生信息、考试生成、考核结果查询等功能，系统可允许指导教师、考生按照特定的用户名和密码登录，分别拥有不同的权限，允许教师对试题库进行编辑或修改，允许指导教师对学生的身份信息进行编辑或修改、对考试的时长和难度进行编辑或修改，系统只允许考生答题或查询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要求本考核系统包括按照故障现象着手进行的诊断考核方式和按照故障代码（诊断仪器故障代码）提示的诊断考核方式两种。在按照故障现象着手进行的诊断考核方式下，试题（派发）生成系统可以随机生成故障现象的名称、故障原因以及对应的通讯代码，并将故障施加到教学设备上；每个系统下应包含多个故障现象，每种故障现象对应多种故障原因，每种故障原因对应多种通讯代码，故障的生成过程应是随机的，整个试题生成过程会记录到数据库；在按照故障代码提示的诊断考核方式下，试题（派发）生成系统可以随机生成故障代码、故障原因和对应的通讯代码，并将故障施加到教学设备上；每个系统下包含多个故障代码，每种故障代码对应多种故障原因，每种故障原因对应多种通讯代码，故障的生成过程应是随机的，整个试题生成过程会记录到数据库；</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4、要求试题（派发）生成应可以根据教学内容和考试大纲随机生成实训题，计算机会自动在知识点中抽取一道实训题，进行实训考核；</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要求在学生答题过程中，系统应同时对学生的答案进行评判，并根据参加考试的次数和正确与否自动评分，学生的答题过程和评判过程要记录到数据库，在考生提交所有答卷后，系统要自动生成考试结果记录在存储装置后台，学生可以查询自己的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要求档案合成系统应可以再现每个学生的成绩单和整个班级的成绩单；每个学生的成绩单包含学生的个人信息、考试过程和评判信息；而整个班级的成绩单只包含每个人的身份信息和考试结果。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六、课程讲学内容技术要求：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认知篇：驱动电机系统的结构与工作原理</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一、驱动电机及控制系统的总体认知</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重点讲述驱动电机系统的功能、组成和技术指标。</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二、驱动电机和控制系统的认知</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重点讲述永磁同步电机的结构、工作原理，特别是三项绕组、旋变、温度传感器的作用的工作原理。</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重点讲述控制系统内的速度-位置检测单元、.电流-电压检测单元、功率变换器的结构和工作原理；冷却系统的结构和控制过程；驱动电机的</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控制方式；永磁同步电动机控制过程。</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三、驱动电机系统控制策略</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重点讲述整车驱动电机控制系统的组成；、动力控制单元PEU的电源管理；加速踏板位置传感器的结构、电路解析和工作原理；.电子档位控制传感器（模块）的结构、电路解析和工作原理;</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重点讲述高压上电控制、换挡控制、驾驶员意图解析、驱动控制、防溜车功能控制、制动能量回收控制、充电过程控制、整车能量优化管理、电动化辅助系统管理、车辆状态实时监测和显示、行车控制分级、故障诊断与处理等相关知识。</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检测篇：驱动电机系统的检测与故障排除</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一、驱动电机及控制系统常见故障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简单介绍驱动电机及控制系统对整车性能的影响以及系统常见的故障。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二、驱动电机及控制系统常见故障分析</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1.驱动电机不运转的故障分析（电源故障、电机自身故障、电机控制器故障、其它控制单元及元件故障引起电机控制系统功能性保护）</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2.驱动电机功率不足的故障分析（电源故障、电机自身故障、电机控制器故障、其它控制单元及元件故障引起电机控制系统功能性保护）</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3.驱动电机间歇性工作的故障分析（电机插接件、电机控制器插接件故障）</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4.驱动系统温度异常的故障分析（电机自身温度异常、电机控制器温度异常）</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三、驱动电机及控制系统常见故障的诊断与检测</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1.驱动电机及控制系统常见故障的诊断与检测</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2.电磁式位置传感器（旋变）性能的测试</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3.电机温度传感器性能的测试</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4.旋钮式电子换挡器性能的测试</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5.数据通信性能的测试</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6.制动开关性能的测试</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7.加速踏板位置传感器性能的测试</w:t>
            </w:r>
          </w:p>
          <w:p>
            <w:pPr>
              <w:spacing w:line="360" w:lineRule="auto"/>
              <w:rPr>
                <w:rFonts w:ascii="宋体" w:hAnsi="宋体" w:cs="宋体"/>
                <w:color w:val="auto"/>
                <w:szCs w:val="21"/>
                <w:highlight w:val="none"/>
              </w:rPr>
            </w:pPr>
            <w:r>
              <w:rPr>
                <w:rFonts w:hint="eastAsia" w:ascii="宋体" w:hAnsi="宋体" w:cs="Times New Roman"/>
                <w:color w:val="auto"/>
                <w:kern w:val="2"/>
                <w:sz w:val="21"/>
                <w:szCs w:val="24"/>
                <w:highlight w:val="none"/>
              </w:rPr>
              <w:t xml:space="preserve">8.驱动电机及控制系统高压绝缘检测 </w:t>
            </w:r>
            <w:r>
              <w:rPr>
                <w:rFonts w:hint="eastAsia" w:ascii="宋体" w:hAnsi="宋体"/>
                <w:color w:val="auto"/>
                <w:highlight w:val="none"/>
              </w:rPr>
              <w:t xml:space="preserve">        </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2</w:t>
            </w:r>
          </w:p>
        </w:tc>
        <w:tc>
          <w:tcPr>
            <w:tcW w:w="515" w:type="pct"/>
            <w:shd w:val="clear" w:color="auto" w:fill="FFFFFF"/>
            <w:vAlign w:val="center"/>
          </w:tcPr>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电动转向助力系统实训考核台（分控联动）</w:t>
            </w:r>
          </w:p>
        </w:tc>
        <w:tc>
          <w:tcPr>
            <w:tcW w:w="4119" w:type="pct"/>
            <w:shd w:val="clear" w:color="auto" w:fill="FFFFFF"/>
            <w:vAlign w:val="center"/>
          </w:tcPr>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一、纯电动整车交互式模块技术要求：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要求在纯电动整车实训平台上安装嵌入交互式模块，模块由故障设置装置、数据采集装置、数据发送装置、车辆系统运行控制装置组成；通过采集装置将电机驱动系统、电池管理系统、整车控制系统、空调控制系统数据采集到交互教学平台上。并嵌入车辆控制装置和故障设置装置，与各系统交互式教学系统进行通讯，可以利用无线设置系统常见的故障，使车辆在教学过程中适时发挥作用，提高课堂讲授的真实感。</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4、要求通过此装置可以将电机驱动系统、电池管理系统、整车控制系统、空调控制系统并与交互式教学系统实时进行数据通讯。实现整车各系统平台联动教学的效果。</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5、要求主回路高压线束上安装能量感应装置，通过LED光带光循环效果，直观展示每组高压线上能量流动方向，以及直流电变交流电的工作过程。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7" w:hRule="atLeast"/>
        </w:trPr>
        <w:tc>
          <w:tcPr>
            <w:tcW w:w="365" w:type="pct"/>
            <w:shd w:val="clear" w:color="auto" w:fill="FFFFFF"/>
            <w:tcMar>
              <w:left w:w="28" w:type="dxa"/>
              <w:right w:w="28" w:type="dxa"/>
            </w:tcMar>
            <w:vAlign w:val="center"/>
          </w:tcPr>
          <w:p>
            <w:pPr>
              <w:autoSpaceDE w:val="0"/>
              <w:autoSpaceDN w:val="0"/>
              <w:adjustRightInd w:val="0"/>
              <w:spacing w:before="99" w:beforeLines="3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3</w:t>
            </w:r>
          </w:p>
        </w:tc>
        <w:tc>
          <w:tcPr>
            <w:tcW w:w="515" w:type="pct"/>
            <w:shd w:val="clear" w:color="auto" w:fill="FFFFFF"/>
            <w:vAlign w:val="center"/>
          </w:tcPr>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电气系统实训台（分控联动）</w:t>
            </w:r>
          </w:p>
        </w:tc>
        <w:tc>
          <w:tcPr>
            <w:tcW w:w="4119" w:type="pct"/>
            <w:shd w:val="clear" w:color="auto" w:fill="FFFFFF"/>
            <w:vAlign w:val="center"/>
          </w:tcPr>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一、产品技术要求：</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1、远程实时监控模块：要求纯电动整车实训装置上安装移动4G通信模块与远程监控服务端通讯。通过移动通信模块每24小时采集4次低电压电池相关数据，并将数据信息发送至监控服务器，通过对低压电池的数据监控，可了解车辆能否正常启动；通过监控用户对车辆的启动时间及次数，以监督用户是否定期对车辆进行正常的充放电的维护，通过维护提升电池的使用寿命。</w:t>
            </w:r>
          </w:p>
          <w:p>
            <w:pPr>
              <w:spacing w:line="360" w:lineRule="auto"/>
              <w:rPr>
                <w:rFonts w:hint="eastAsia" w:ascii="宋体" w:hAnsi="宋体" w:eastAsia="宋体" w:cs="Times New Roman"/>
                <w:color w:val="auto"/>
                <w:kern w:val="2"/>
                <w:sz w:val="21"/>
                <w:szCs w:val="24"/>
                <w:highlight w:val="none"/>
                <w:lang w:eastAsia="zh-CN"/>
              </w:rPr>
            </w:pPr>
            <w:r>
              <w:rPr>
                <w:rFonts w:hint="eastAsia" w:ascii="宋体" w:hAnsi="宋体" w:cs="Times New Roman"/>
                <w:color w:val="auto"/>
                <w:kern w:val="2"/>
                <w:sz w:val="21"/>
                <w:szCs w:val="24"/>
                <w:highlight w:val="none"/>
              </w:rPr>
              <w:t>要求对车辆进行终身实时监控，模块在采集时工作电流不高于110毫安，不采集时不大于0.1毫安。</w:t>
            </w:r>
          </w:p>
          <w:p>
            <w:pPr>
              <w:spacing w:line="360" w:lineRule="auto"/>
              <w:rPr>
                <w:rFonts w:ascii="宋体" w:hAnsi="宋体" w:cs="Times New Roman"/>
                <w:color w:val="auto"/>
                <w:kern w:val="2"/>
                <w:sz w:val="21"/>
                <w:szCs w:val="24"/>
                <w:highlight w:val="none"/>
              </w:rPr>
            </w:pPr>
            <w:r>
              <w:rPr>
                <w:rFonts w:hint="eastAsia" w:ascii="宋体" w:hAnsi="宋体" w:cs="Times New Roman"/>
                <w:color w:val="auto"/>
                <w:kern w:val="2"/>
                <w:sz w:val="21"/>
                <w:szCs w:val="24"/>
                <w:highlight w:val="none"/>
              </w:rPr>
              <w:t>2、全新纯电动整车吉利几何，要求可以通过剖视纯电动整车交互式模块连接电机驱动系统、电池管理系统、整车控制系统、空调控制系统并与交互式教学系统实时进行数据通讯，以满足教师的各种教学环节需求。</w:t>
            </w:r>
          </w:p>
        </w:tc>
      </w:tr>
    </w:tbl>
    <w:p>
      <w:pPr>
        <w:shd w:val="clear" w:color="auto" w:fill="FFFFFF"/>
        <w:spacing w:line="320" w:lineRule="exact"/>
        <w:rPr>
          <w:rFonts w:ascii="黑体" w:hAnsi="黑体" w:eastAsia="黑体" w:cs="Arial"/>
          <w:b/>
          <w:color w:val="auto"/>
          <w:highlight w:val="none"/>
        </w:rPr>
      </w:pPr>
    </w:p>
    <w:p>
      <w:pPr>
        <w:shd w:val="clear" w:color="auto" w:fill="FFFFFF"/>
        <w:spacing w:line="320" w:lineRule="exact"/>
        <w:ind w:firstLine="479" w:firstLineChars="199"/>
        <w:rPr>
          <w:rFonts w:ascii="黑体" w:hAnsi="黑体" w:eastAsia="黑体" w:cs="Arial"/>
          <w:b/>
          <w:color w:val="auto"/>
          <w:highlight w:val="none"/>
        </w:rPr>
      </w:pPr>
      <w:r>
        <w:rPr>
          <w:rFonts w:hint="eastAsia" w:ascii="黑体" w:hAnsi="黑体" w:eastAsia="黑体" w:cs="Arial"/>
          <w:b/>
          <w:color w:val="auto"/>
          <w:highlight w:val="none"/>
        </w:rPr>
        <w:t>四、商务要求</w:t>
      </w:r>
    </w:p>
    <w:tbl>
      <w:tblPr>
        <w:tblStyle w:val="26"/>
        <w:tblpPr w:leftFromText="180" w:rightFromText="180" w:vertAnchor="text" w:horzAnchor="page" w:tblpX="1731" w:tblpY="326"/>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293"/>
        <w:gridCol w:w="7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blHeader/>
        </w:trPr>
        <w:tc>
          <w:tcPr>
            <w:tcW w:w="795"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序号</w:t>
            </w:r>
          </w:p>
        </w:tc>
        <w:tc>
          <w:tcPr>
            <w:tcW w:w="1293"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指标项</w:t>
            </w:r>
          </w:p>
        </w:tc>
        <w:tc>
          <w:tcPr>
            <w:tcW w:w="7030" w:type="dxa"/>
            <w:vAlign w:val="center"/>
          </w:tcPr>
          <w:p>
            <w:pPr>
              <w:autoSpaceDE w:val="0"/>
              <w:autoSpaceDN w:val="0"/>
              <w:adjustRightInd w:val="0"/>
              <w:snapToGrid w:val="0"/>
              <w:spacing w:line="320" w:lineRule="exact"/>
              <w:jc w:val="center"/>
              <w:rPr>
                <w:rFonts w:ascii="宋体" w:hAnsi="宋体" w:cs="宋体"/>
                <w:b/>
                <w:snapToGrid w:val="0"/>
                <w:color w:val="auto"/>
                <w:highlight w:val="none"/>
                <w:lang w:val="zh-CN"/>
              </w:rPr>
            </w:pPr>
            <w:r>
              <w:rPr>
                <w:rFonts w:hint="eastAsia" w:ascii="宋体" w:hAnsi="宋体" w:cs="宋体"/>
                <w:b/>
                <w:snapToGrid w:val="0"/>
                <w:color w:val="auto"/>
                <w:highlight w:val="none"/>
                <w:lang w:val="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最高限价</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b/>
                <w:bCs/>
                <w:snapToGrid w:val="0"/>
                <w:color w:val="auto"/>
                <w:szCs w:val="21"/>
                <w:highlight w:val="none"/>
              </w:rPr>
              <w:t>36</w:t>
            </w:r>
            <w:r>
              <w:rPr>
                <w:rFonts w:hint="eastAsia" w:ascii="宋体" w:hAnsi="宋体" w:cs="宋体"/>
                <w:b/>
                <w:bCs/>
                <w:snapToGrid w:val="0"/>
                <w:color w:val="auto"/>
                <w:szCs w:val="21"/>
                <w:highlight w:val="none"/>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2</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交货期</w:t>
            </w:r>
          </w:p>
        </w:tc>
        <w:tc>
          <w:tcPr>
            <w:tcW w:w="7030" w:type="dxa"/>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en-US" w:eastAsia="zh-CN"/>
              </w:rPr>
              <w:t>15日历天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3</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服务标准/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售后服务要求</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cs="宋体"/>
                <w:iCs/>
                <w:snapToGrid w:val="0"/>
                <w:color w:val="auto"/>
                <w:szCs w:val="21"/>
                <w:highlight w:val="none"/>
                <w:lang w:val="zh-CN"/>
              </w:rPr>
              <w:t>供应商提供免费二年原厂运行维保服务，包含且不限商品的业务培训、版本升级、题库更新、故障解决等。二年履约期结束后，供应商可以提供收费运维服务具体金额双方友好协商，若产品有版本升级收取成本费。</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供应商保证所供商品在二年履约期中发生故障时，最迟在贰个工作日内修复，必要时采取临时调换等措施，以保证采购方的正常工作。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4</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验收标准</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符合上述技术要求且正常运行。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5</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付款方式</w:t>
            </w:r>
          </w:p>
        </w:tc>
        <w:tc>
          <w:tcPr>
            <w:tcW w:w="7030" w:type="dxa"/>
          </w:tcPr>
          <w:p>
            <w:pPr>
              <w:autoSpaceDE w:val="0"/>
              <w:autoSpaceDN w:val="0"/>
              <w:adjustRightInd w:val="0"/>
              <w:snapToGrid w:val="0"/>
              <w:spacing w:line="320" w:lineRule="exact"/>
              <w:rPr>
                <w:rFonts w:ascii="宋体" w:hAnsi="宋体" w:cs="宋体"/>
                <w:iCs/>
                <w:snapToGrid w:val="0"/>
                <w:color w:val="auto"/>
                <w:szCs w:val="21"/>
                <w:highlight w:val="none"/>
                <w:lang w:val="zh-CN"/>
              </w:rPr>
            </w:pPr>
            <w:r>
              <w:rPr>
                <w:rFonts w:hint="eastAsia" w:ascii="宋体" w:hAnsi="宋体" w:eastAsia="宋体" w:cs="宋体"/>
                <w:iCs/>
                <w:snapToGrid w:val="0"/>
                <w:color w:val="auto"/>
                <w:szCs w:val="21"/>
                <w:highlight w:val="none"/>
                <w:lang w:val="zh-CN"/>
              </w:rPr>
              <w:t>双方盖章合同生效，合同生效5日内甲方给乙方支付30%预付款，货到甲方现场7日内，甲方给乙方付至合同金额的80%，安装调试完</w:t>
            </w:r>
            <w:r>
              <w:rPr>
                <w:rFonts w:hint="eastAsia" w:ascii="宋体" w:hAnsi="宋体" w:eastAsia="宋体" w:cs="宋体"/>
                <w:iCs/>
                <w:snapToGrid w:val="0"/>
                <w:color w:val="auto"/>
                <w:szCs w:val="21"/>
                <w:highlight w:val="none"/>
                <w:lang w:val="en-US" w:eastAsia="zh-CN"/>
              </w:rPr>
              <w:t>成并通过校方组织技术人员验收合格后付清余款</w:t>
            </w:r>
            <w:r>
              <w:rPr>
                <w:rFonts w:hint="eastAsia" w:ascii="宋体" w:hAnsi="宋体" w:eastAsia="宋体" w:cs="宋体"/>
                <w:iCs/>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6</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拟采用</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采购方式</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委托代理采购，竞争性谈判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7</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供应商</w:t>
            </w:r>
          </w:p>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资质</w:t>
            </w:r>
          </w:p>
        </w:tc>
        <w:tc>
          <w:tcPr>
            <w:tcW w:w="7030" w:type="dxa"/>
            <w:vAlign w:val="center"/>
          </w:tcPr>
          <w:p>
            <w:pPr>
              <w:numPr>
                <w:ilvl w:val="0"/>
                <w:numId w:val="0"/>
              </w:numPr>
              <w:outlineLvl w:val="0"/>
              <w:rPr>
                <w:rFonts w:hint="eastAsia" w:ascii="宋体" w:hAnsi="宋体" w:cs="宋体"/>
                <w:snapToGrid w:val="0"/>
                <w:color w:val="auto"/>
                <w:szCs w:val="21"/>
                <w:highlight w:val="none"/>
                <w:lang w:val="zh-CN"/>
              </w:rPr>
            </w:pPr>
            <w:r>
              <w:rPr>
                <w:rFonts w:hint="eastAsia" w:ascii="宋体" w:hAnsi="宋体" w:cs="宋体"/>
                <w:snapToGrid w:val="0"/>
                <w:color w:val="auto"/>
                <w:szCs w:val="21"/>
                <w:highlight w:val="none"/>
                <w:lang w:val="en-US" w:eastAsia="zh-CN"/>
              </w:rPr>
              <w:t>1.</w:t>
            </w:r>
            <w:r>
              <w:rPr>
                <w:rFonts w:hint="eastAsia" w:ascii="宋体" w:hAnsi="宋体" w:cs="宋体"/>
                <w:snapToGrid w:val="0"/>
                <w:color w:val="auto"/>
                <w:szCs w:val="21"/>
                <w:highlight w:val="none"/>
                <w:lang w:val="zh-CN"/>
              </w:rPr>
              <w:t>具备《中华人民共和国政府采购法》第二十二条第一款规定的6项条件（按要求提供投标声明及承诺书）；</w:t>
            </w:r>
          </w:p>
          <w:p>
            <w:pPr>
              <w:numPr>
                <w:ilvl w:val="0"/>
                <w:numId w:val="0"/>
              </w:numPr>
              <w:outlineLvl w:val="0"/>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szCs w:val="21"/>
                <w:highlight w:val="none"/>
                <w:lang w:val="zh-CN"/>
              </w:rPr>
              <w:t>2</w:t>
            </w:r>
            <w:r>
              <w:rPr>
                <w:rFonts w:ascii="宋体" w:hAnsi="宋体" w:cs="宋体"/>
                <w:snapToGrid w:val="0"/>
                <w:color w:val="auto"/>
                <w:szCs w:val="21"/>
                <w:highlight w:val="none"/>
                <w:lang w:val="zh-CN"/>
              </w:rPr>
              <w:t>.</w:t>
            </w:r>
            <w:r>
              <w:rPr>
                <w:rFonts w:hint="eastAsia" w:ascii="宋体" w:hAnsi="宋体" w:cs="宋体"/>
                <w:snapToGrid w:val="0"/>
                <w:color w:val="auto"/>
                <w:szCs w:val="21"/>
                <w:highlight w:val="none"/>
                <w:lang w:val="zh-CN"/>
              </w:rPr>
              <w:t>落实政府采购政策需满足的资格要求：</w:t>
            </w:r>
            <w:r>
              <w:rPr>
                <w:rFonts w:hint="eastAsia" w:ascii="宋体" w:hAnsi="宋体" w:eastAsia="宋体" w:cs="宋体"/>
                <w:color w:val="auto"/>
                <w:sz w:val="24"/>
                <w:szCs w:val="24"/>
                <w:highlight w:val="none"/>
                <w:lang w:val="en-US" w:eastAsia="zh-CN"/>
              </w:rPr>
              <w:t>此项目属于专门面向中小微企业采购的项目，供应商所提供的货物全部由符合政策要求的中小企业制造，供应商提供的货物的制造商应全部为中小微企业、监狱企业、残疾人福利性单位；</w:t>
            </w:r>
          </w:p>
          <w:p>
            <w:pPr>
              <w:pStyle w:val="2"/>
              <w:numPr>
                <w:ilvl w:val="0"/>
                <w:numId w:val="0"/>
              </w:numPr>
              <w:ind w:left="0" w:leftChars="0" w:firstLine="0" w:firstLineChars="0"/>
              <w:rPr>
                <w:rFonts w:ascii="宋体" w:hAnsi="宋体" w:cs="宋体"/>
                <w:snapToGrid w:val="0"/>
                <w:color w:val="auto"/>
                <w:szCs w:val="21"/>
                <w:highlight w:val="none"/>
                <w:lang w:val="zh-CN"/>
              </w:rPr>
            </w:pPr>
            <w:r>
              <w:rPr>
                <w:rFonts w:hint="eastAsia" w:ascii="宋体" w:hAnsi="宋体" w:cs="宋体"/>
                <w:b/>
                <w:color w:val="auto"/>
                <w:szCs w:val="24"/>
                <w:highlight w:val="none"/>
                <w:lang w:val="en-US" w:eastAsia="zh-CN"/>
              </w:rPr>
              <w:t>3.</w:t>
            </w:r>
            <w:r>
              <w:rPr>
                <w:rFonts w:hint="eastAsia" w:ascii="宋体" w:hAnsi="宋体" w:cs="宋体"/>
                <w:b/>
                <w:color w:val="auto"/>
                <w:szCs w:val="24"/>
                <w:highlight w:val="none"/>
              </w:rPr>
              <w:t>供应商的特殊要求：无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8</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合同履约时间、地点</w:t>
            </w:r>
          </w:p>
        </w:tc>
        <w:tc>
          <w:tcPr>
            <w:tcW w:w="7030" w:type="dxa"/>
            <w:vAlign w:val="center"/>
          </w:tcPr>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乙方在合同签订后</w:t>
            </w:r>
            <w:r>
              <w:rPr>
                <w:rFonts w:hint="eastAsia" w:ascii="宋体" w:hAnsi="宋体" w:cs="宋体"/>
                <w:snapToGrid w:val="0"/>
                <w:color w:val="auto"/>
                <w:szCs w:val="21"/>
                <w:highlight w:val="none"/>
                <w:lang w:val="en-US" w:eastAsia="zh-CN"/>
              </w:rPr>
              <w:t>15</w:t>
            </w:r>
            <w:r>
              <w:rPr>
                <w:rFonts w:hint="eastAsia" w:ascii="宋体" w:hAnsi="宋体" w:cs="宋体"/>
                <w:snapToGrid w:val="0"/>
                <w:color w:val="auto"/>
                <w:szCs w:val="21"/>
                <w:highlight w:val="none"/>
                <w:lang w:val="zh-CN"/>
              </w:rPr>
              <w:t>日历天内，完成产品交付。</w:t>
            </w:r>
          </w:p>
          <w:p>
            <w:pPr>
              <w:autoSpaceDE w:val="0"/>
              <w:autoSpaceDN w:val="0"/>
              <w:adjustRightInd w:val="0"/>
              <w:snapToGrid w:val="0"/>
              <w:spacing w:line="320" w:lineRule="exact"/>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地点：江苏省</w:t>
            </w:r>
            <w:r>
              <w:rPr>
                <w:rFonts w:hint="eastAsia" w:ascii="宋体" w:hAnsi="宋体" w:cs="宋体"/>
                <w:snapToGrid w:val="0"/>
                <w:color w:val="auto"/>
                <w:szCs w:val="21"/>
                <w:highlight w:val="none"/>
              </w:rPr>
              <w:t>邳州中等专业</w:t>
            </w:r>
            <w:r>
              <w:rPr>
                <w:rFonts w:hint="eastAsia" w:ascii="宋体" w:hAnsi="宋体" w:cs="宋体"/>
                <w:snapToGrid w:val="0"/>
                <w:color w:val="auto"/>
                <w:szCs w:val="21"/>
                <w:highlight w:val="none"/>
                <w:lang w:val="zh-CN"/>
              </w:rPr>
              <w:t>学校，</w:t>
            </w:r>
            <w:r>
              <w:rPr>
                <w:rFonts w:hint="eastAsia" w:ascii="宋体" w:hAnsi="宋体" w:cs="宋体"/>
                <w:snapToGrid w:val="0"/>
                <w:color w:val="auto"/>
                <w:szCs w:val="21"/>
                <w:highlight w:val="none"/>
              </w:rPr>
              <w:t>江苏省徐州市邳州市辽河路与陇海大道交岔口东北侧</w:t>
            </w:r>
            <w:r>
              <w:rPr>
                <w:rFonts w:hint="eastAsia" w:ascii="宋体" w:hAnsi="宋体" w:cs="宋体"/>
                <w:snapToGrid w:val="0"/>
                <w:color w:val="auto"/>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rPr>
              <w:t>9</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lang w:val="zh-CN"/>
              </w:rPr>
            </w:pPr>
            <w:r>
              <w:rPr>
                <w:rFonts w:hint="eastAsia" w:ascii="宋体" w:hAnsi="宋体" w:cs="宋体"/>
                <w:snapToGrid w:val="0"/>
                <w:color w:val="auto"/>
                <w:szCs w:val="21"/>
                <w:highlight w:val="none"/>
                <w:lang w:val="zh-CN"/>
              </w:rPr>
              <w:t>服务期限</w:t>
            </w:r>
          </w:p>
        </w:tc>
        <w:tc>
          <w:tcPr>
            <w:tcW w:w="7030"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lang w:val="zh-CN"/>
              </w:rPr>
              <w:t>本项目服务期限为</w:t>
            </w:r>
            <w:r>
              <w:rPr>
                <w:rFonts w:ascii="宋体" w:hAnsi="宋体" w:cs="宋体"/>
                <w:snapToGrid w:val="0"/>
                <w:color w:val="auto"/>
                <w:szCs w:val="21"/>
                <w:highlight w:val="none"/>
                <w:lang w:val="zh-CN"/>
              </w:rPr>
              <w:t>2</w:t>
            </w:r>
            <w:r>
              <w:rPr>
                <w:rFonts w:hint="eastAsia" w:ascii="宋体" w:hAnsi="宋体" w:cs="宋体"/>
                <w:snapToGrid w:val="0"/>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10</w:t>
            </w: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合同条款</w:t>
            </w:r>
          </w:p>
        </w:tc>
        <w:tc>
          <w:tcPr>
            <w:tcW w:w="7030" w:type="dxa"/>
          </w:tcPr>
          <w:p>
            <w:pPr>
              <w:autoSpaceDE w:val="0"/>
              <w:autoSpaceDN w:val="0"/>
              <w:adjustRightInd w:val="0"/>
              <w:snapToGrid w:val="0"/>
              <w:spacing w:line="276" w:lineRule="auto"/>
              <w:ind w:firstLine="480" w:firstLineChars="200"/>
              <w:rPr>
                <w:rFonts w:ascii="宋体" w:hAnsi="宋体" w:cs="宋体"/>
                <w:snapToGrid w:val="0"/>
                <w:color w:val="auto"/>
                <w:szCs w:val="21"/>
                <w:highlight w:val="none"/>
                <w:lang w:val="zh-CN"/>
              </w:rPr>
            </w:pPr>
            <w:r>
              <w:rPr>
                <w:rFonts w:hint="eastAsia" w:ascii="宋体" w:hAnsi="宋体" w:cs="宋体"/>
                <w:iCs/>
                <w:snapToGrid w:val="0"/>
                <w:color w:val="auto"/>
                <w:szCs w:val="21"/>
                <w:highlight w:val="none"/>
                <w:lang w:val="zh-CN"/>
              </w:rPr>
              <w:t>主要包含采购商品清单、质量保证、交货时间地点、售后服务、验收、履约保证金、付款方式、违约责任等内容。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95"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p>
        </w:tc>
        <w:tc>
          <w:tcPr>
            <w:tcW w:w="1293" w:type="dxa"/>
            <w:vAlign w:val="center"/>
          </w:tcPr>
          <w:p>
            <w:pPr>
              <w:autoSpaceDE w:val="0"/>
              <w:autoSpaceDN w:val="0"/>
              <w:adjustRightInd w:val="0"/>
              <w:snapToGrid w:val="0"/>
              <w:spacing w:line="320" w:lineRule="exact"/>
              <w:jc w:val="center"/>
              <w:rPr>
                <w:rFonts w:ascii="宋体" w:hAnsi="宋体" w:cs="宋体"/>
                <w:snapToGrid w:val="0"/>
                <w:color w:val="auto"/>
                <w:szCs w:val="21"/>
                <w:highlight w:val="none"/>
              </w:rPr>
            </w:pPr>
            <w:r>
              <w:rPr>
                <w:rFonts w:hint="eastAsia" w:ascii="宋体" w:hAnsi="宋体" w:cs="宋体"/>
                <w:snapToGrid w:val="0"/>
                <w:color w:val="auto"/>
                <w:szCs w:val="21"/>
                <w:highlight w:val="none"/>
              </w:rPr>
              <w:t>其它要求</w:t>
            </w:r>
          </w:p>
        </w:tc>
        <w:tc>
          <w:tcPr>
            <w:tcW w:w="7030" w:type="dxa"/>
          </w:tcPr>
          <w:p>
            <w:pPr>
              <w:autoSpaceDE w:val="0"/>
              <w:autoSpaceDN w:val="0"/>
              <w:adjustRightInd w:val="0"/>
              <w:snapToGrid w:val="0"/>
              <w:spacing w:line="276" w:lineRule="auto"/>
              <w:rPr>
                <w:rFonts w:ascii="宋体" w:hAnsi="宋体" w:cs="宋体"/>
                <w:snapToGrid w:val="0"/>
                <w:color w:val="auto"/>
                <w:szCs w:val="21"/>
                <w:highlight w:val="none"/>
              </w:rPr>
            </w:pPr>
          </w:p>
        </w:tc>
      </w:tr>
    </w:tbl>
    <w:p>
      <w:pPr>
        <w:pStyle w:val="10"/>
        <w:ind w:firstLine="480" w:firstLineChars="200"/>
        <w:rPr>
          <w:rFonts w:ascii="宋体" w:hAnsi="宋体" w:eastAsia="宋体" w:cs="宋体"/>
          <w:color w:val="auto"/>
          <w:sz w:val="24"/>
          <w:szCs w:val="21"/>
          <w:highlight w:val="none"/>
        </w:rPr>
      </w:pPr>
    </w:p>
    <w:sectPr>
      <w:pgSz w:w="11906" w:h="16838"/>
      <w:pgMar w:top="1417" w:right="1466" w:bottom="1417" w:left="1560" w:header="851" w:footer="992" w:gutter="0"/>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楷体">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l9EKuywEAAJcDAAAOAAAAAAAAAAEAIAAAACIBAABkcnMv&#10;ZTJvRG9jLnhtbFBLBQYAAAAABgAGAFkBAABfBQAAAAA=&#10;">
              <v:fill on="f" focussize="0,0"/>
              <v:stroke on="f" weight="1.2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57"/>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iY2M2ZmVkYmIzMjMxNjhmODRiOGE5YjMyN2U3YzcifQ=="/>
    <w:docVar w:name="KSO_WPS_MARK_KEY" w:val="f19b05ed-f07e-4ff0-bd9d-145c55bf2c5d"/>
  </w:docVars>
  <w:rsids>
    <w:rsidRoot w:val="00172A27"/>
    <w:rsid w:val="00014532"/>
    <w:rsid w:val="00017B49"/>
    <w:rsid w:val="00021B72"/>
    <w:rsid w:val="00024F00"/>
    <w:rsid w:val="00027AAF"/>
    <w:rsid w:val="00036290"/>
    <w:rsid w:val="000679EC"/>
    <w:rsid w:val="000A044C"/>
    <w:rsid w:val="000A0BC9"/>
    <w:rsid w:val="000A652C"/>
    <w:rsid w:val="000B31DF"/>
    <w:rsid w:val="000B3F14"/>
    <w:rsid w:val="000C2575"/>
    <w:rsid w:val="000D0078"/>
    <w:rsid w:val="000D5FAE"/>
    <w:rsid w:val="000D7DCB"/>
    <w:rsid w:val="000D7EC0"/>
    <w:rsid w:val="000F1E77"/>
    <w:rsid w:val="000F2521"/>
    <w:rsid w:val="000F65B9"/>
    <w:rsid w:val="0016222C"/>
    <w:rsid w:val="00166F9E"/>
    <w:rsid w:val="00172A27"/>
    <w:rsid w:val="00172F14"/>
    <w:rsid w:val="0018305D"/>
    <w:rsid w:val="00186847"/>
    <w:rsid w:val="001904BD"/>
    <w:rsid w:val="00191E52"/>
    <w:rsid w:val="00196EBE"/>
    <w:rsid w:val="001A3A87"/>
    <w:rsid w:val="001C478D"/>
    <w:rsid w:val="001D18BD"/>
    <w:rsid w:val="001D5625"/>
    <w:rsid w:val="0021245C"/>
    <w:rsid w:val="00234F3C"/>
    <w:rsid w:val="0023561C"/>
    <w:rsid w:val="00247180"/>
    <w:rsid w:val="00250ECA"/>
    <w:rsid w:val="00251209"/>
    <w:rsid w:val="0025473A"/>
    <w:rsid w:val="00264EA9"/>
    <w:rsid w:val="0027082C"/>
    <w:rsid w:val="002735B0"/>
    <w:rsid w:val="002A4619"/>
    <w:rsid w:val="002B1D4B"/>
    <w:rsid w:val="002B4DF0"/>
    <w:rsid w:val="002C7CAB"/>
    <w:rsid w:val="002D23E5"/>
    <w:rsid w:val="002E74B0"/>
    <w:rsid w:val="0032062C"/>
    <w:rsid w:val="00323221"/>
    <w:rsid w:val="003256A2"/>
    <w:rsid w:val="003805C1"/>
    <w:rsid w:val="0038761E"/>
    <w:rsid w:val="0039172D"/>
    <w:rsid w:val="003A4CB4"/>
    <w:rsid w:val="003B4F03"/>
    <w:rsid w:val="003C15CC"/>
    <w:rsid w:val="003D153E"/>
    <w:rsid w:val="00406B78"/>
    <w:rsid w:val="00441800"/>
    <w:rsid w:val="004523CB"/>
    <w:rsid w:val="00461F79"/>
    <w:rsid w:val="0046387F"/>
    <w:rsid w:val="00466E83"/>
    <w:rsid w:val="004765FD"/>
    <w:rsid w:val="00481F73"/>
    <w:rsid w:val="004A448E"/>
    <w:rsid w:val="004B2F01"/>
    <w:rsid w:val="004B527C"/>
    <w:rsid w:val="004B67BA"/>
    <w:rsid w:val="004C560E"/>
    <w:rsid w:val="004D5328"/>
    <w:rsid w:val="004E095F"/>
    <w:rsid w:val="004E1C69"/>
    <w:rsid w:val="004E2909"/>
    <w:rsid w:val="004F70B0"/>
    <w:rsid w:val="00507BC5"/>
    <w:rsid w:val="00522059"/>
    <w:rsid w:val="00534BAD"/>
    <w:rsid w:val="00535B7D"/>
    <w:rsid w:val="005465FC"/>
    <w:rsid w:val="00550B34"/>
    <w:rsid w:val="0055134D"/>
    <w:rsid w:val="005528D1"/>
    <w:rsid w:val="005A3333"/>
    <w:rsid w:val="005A6574"/>
    <w:rsid w:val="005C047D"/>
    <w:rsid w:val="005C1399"/>
    <w:rsid w:val="005C2B51"/>
    <w:rsid w:val="005D1BB8"/>
    <w:rsid w:val="005D6E58"/>
    <w:rsid w:val="005F6108"/>
    <w:rsid w:val="00601F3E"/>
    <w:rsid w:val="00602E13"/>
    <w:rsid w:val="00604D90"/>
    <w:rsid w:val="00670B88"/>
    <w:rsid w:val="00673155"/>
    <w:rsid w:val="00697F5E"/>
    <w:rsid w:val="006B766A"/>
    <w:rsid w:val="006C747E"/>
    <w:rsid w:val="006D1AEB"/>
    <w:rsid w:val="006D3927"/>
    <w:rsid w:val="006E32C4"/>
    <w:rsid w:val="006E45D9"/>
    <w:rsid w:val="00705571"/>
    <w:rsid w:val="00727DC7"/>
    <w:rsid w:val="00742B74"/>
    <w:rsid w:val="00743776"/>
    <w:rsid w:val="00745DB4"/>
    <w:rsid w:val="007805CE"/>
    <w:rsid w:val="00785D19"/>
    <w:rsid w:val="00791695"/>
    <w:rsid w:val="007A18A3"/>
    <w:rsid w:val="007B0A32"/>
    <w:rsid w:val="007B0D6F"/>
    <w:rsid w:val="007B7DAA"/>
    <w:rsid w:val="007D7D80"/>
    <w:rsid w:val="007E40ED"/>
    <w:rsid w:val="007E5328"/>
    <w:rsid w:val="007F40B6"/>
    <w:rsid w:val="00801316"/>
    <w:rsid w:val="0081287C"/>
    <w:rsid w:val="00816DF4"/>
    <w:rsid w:val="00816E02"/>
    <w:rsid w:val="00831CC5"/>
    <w:rsid w:val="00845338"/>
    <w:rsid w:val="00861A05"/>
    <w:rsid w:val="00883599"/>
    <w:rsid w:val="00885D7F"/>
    <w:rsid w:val="008E480D"/>
    <w:rsid w:val="008F45C2"/>
    <w:rsid w:val="00901D8B"/>
    <w:rsid w:val="0092029A"/>
    <w:rsid w:val="00922002"/>
    <w:rsid w:val="00927AB1"/>
    <w:rsid w:val="00953C65"/>
    <w:rsid w:val="00964CE6"/>
    <w:rsid w:val="009832A7"/>
    <w:rsid w:val="0099058B"/>
    <w:rsid w:val="00997ED1"/>
    <w:rsid w:val="009A0589"/>
    <w:rsid w:val="009A6DE6"/>
    <w:rsid w:val="009C2877"/>
    <w:rsid w:val="009E40CB"/>
    <w:rsid w:val="009E4AC4"/>
    <w:rsid w:val="009E64E8"/>
    <w:rsid w:val="009E6CBA"/>
    <w:rsid w:val="009F75BB"/>
    <w:rsid w:val="00A031B8"/>
    <w:rsid w:val="00A0332B"/>
    <w:rsid w:val="00A04E52"/>
    <w:rsid w:val="00A12A87"/>
    <w:rsid w:val="00A157F5"/>
    <w:rsid w:val="00A431BC"/>
    <w:rsid w:val="00A43795"/>
    <w:rsid w:val="00A57963"/>
    <w:rsid w:val="00A75959"/>
    <w:rsid w:val="00A8282F"/>
    <w:rsid w:val="00A8795B"/>
    <w:rsid w:val="00AB6B79"/>
    <w:rsid w:val="00AD533E"/>
    <w:rsid w:val="00AD5920"/>
    <w:rsid w:val="00AE510C"/>
    <w:rsid w:val="00AF0AB5"/>
    <w:rsid w:val="00AF7E5F"/>
    <w:rsid w:val="00B01200"/>
    <w:rsid w:val="00B20F6E"/>
    <w:rsid w:val="00B356E1"/>
    <w:rsid w:val="00B43AA6"/>
    <w:rsid w:val="00B440A2"/>
    <w:rsid w:val="00B44AE0"/>
    <w:rsid w:val="00B44D16"/>
    <w:rsid w:val="00B57CF2"/>
    <w:rsid w:val="00B976D6"/>
    <w:rsid w:val="00BB357E"/>
    <w:rsid w:val="00BB4B00"/>
    <w:rsid w:val="00BE1528"/>
    <w:rsid w:val="00BE1653"/>
    <w:rsid w:val="00BF27C6"/>
    <w:rsid w:val="00C16407"/>
    <w:rsid w:val="00C22813"/>
    <w:rsid w:val="00C265D1"/>
    <w:rsid w:val="00C26F49"/>
    <w:rsid w:val="00C40470"/>
    <w:rsid w:val="00C44B96"/>
    <w:rsid w:val="00C4606D"/>
    <w:rsid w:val="00C61C57"/>
    <w:rsid w:val="00C63757"/>
    <w:rsid w:val="00C63773"/>
    <w:rsid w:val="00C76C79"/>
    <w:rsid w:val="00C834DB"/>
    <w:rsid w:val="00C83A24"/>
    <w:rsid w:val="00C96EE4"/>
    <w:rsid w:val="00CB0916"/>
    <w:rsid w:val="00CB70E9"/>
    <w:rsid w:val="00CC4C97"/>
    <w:rsid w:val="00CD4470"/>
    <w:rsid w:val="00CD5703"/>
    <w:rsid w:val="00CE4821"/>
    <w:rsid w:val="00CE6908"/>
    <w:rsid w:val="00CF48E1"/>
    <w:rsid w:val="00CF6B8A"/>
    <w:rsid w:val="00D10967"/>
    <w:rsid w:val="00D17852"/>
    <w:rsid w:val="00D378C2"/>
    <w:rsid w:val="00D50BB2"/>
    <w:rsid w:val="00D62229"/>
    <w:rsid w:val="00D75393"/>
    <w:rsid w:val="00D8224E"/>
    <w:rsid w:val="00D823E3"/>
    <w:rsid w:val="00D962F1"/>
    <w:rsid w:val="00DA0089"/>
    <w:rsid w:val="00DC5250"/>
    <w:rsid w:val="00DF096D"/>
    <w:rsid w:val="00DF0C8A"/>
    <w:rsid w:val="00DF0E06"/>
    <w:rsid w:val="00DF4377"/>
    <w:rsid w:val="00E03463"/>
    <w:rsid w:val="00E04E70"/>
    <w:rsid w:val="00E05FC6"/>
    <w:rsid w:val="00E1359F"/>
    <w:rsid w:val="00E13B02"/>
    <w:rsid w:val="00E225C4"/>
    <w:rsid w:val="00E316D0"/>
    <w:rsid w:val="00E54D62"/>
    <w:rsid w:val="00E77267"/>
    <w:rsid w:val="00E81E39"/>
    <w:rsid w:val="00E840AD"/>
    <w:rsid w:val="00EB4573"/>
    <w:rsid w:val="00EC6776"/>
    <w:rsid w:val="00EC6B19"/>
    <w:rsid w:val="00F04BE3"/>
    <w:rsid w:val="00F13A0D"/>
    <w:rsid w:val="00F1789C"/>
    <w:rsid w:val="00F21EC9"/>
    <w:rsid w:val="00F220FE"/>
    <w:rsid w:val="00F470DB"/>
    <w:rsid w:val="00F7672E"/>
    <w:rsid w:val="00F820E9"/>
    <w:rsid w:val="00F87B1D"/>
    <w:rsid w:val="00FB12E7"/>
    <w:rsid w:val="00FB4683"/>
    <w:rsid w:val="00FD045B"/>
    <w:rsid w:val="00FE3A0F"/>
    <w:rsid w:val="00FE642D"/>
    <w:rsid w:val="00FE67CB"/>
    <w:rsid w:val="00FF042C"/>
    <w:rsid w:val="00FF132E"/>
    <w:rsid w:val="00FF4A53"/>
    <w:rsid w:val="013D016B"/>
    <w:rsid w:val="01553EAC"/>
    <w:rsid w:val="016B76DA"/>
    <w:rsid w:val="01BF13A6"/>
    <w:rsid w:val="01EE66A4"/>
    <w:rsid w:val="01F06E11"/>
    <w:rsid w:val="02144BFA"/>
    <w:rsid w:val="027809B9"/>
    <w:rsid w:val="028D2FBF"/>
    <w:rsid w:val="02B32B64"/>
    <w:rsid w:val="02C75509"/>
    <w:rsid w:val="02F67802"/>
    <w:rsid w:val="02FA5B72"/>
    <w:rsid w:val="03001DCC"/>
    <w:rsid w:val="030D774D"/>
    <w:rsid w:val="032D23B8"/>
    <w:rsid w:val="033C3C53"/>
    <w:rsid w:val="035C6295"/>
    <w:rsid w:val="036F5C47"/>
    <w:rsid w:val="03881849"/>
    <w:rsid w:val="03BC5D49"/>
    <w:rsid w:val="03C72148"/>
    <w:rsid w:val="03CC68F5"/>
    <w:rsid w:val="03D54151"/>
    <w:rsid w:val="04220779"/>
    <w:rsid w:val="04353CB7"/>
    <w:rsid w:val="04495D75"/>
    <w:rsid w:val="04855147"/>
    <w:rsid w:val="049D7516"/>
    <w:rsid w:val="04B31AF4"/>
    <w:rsid w:val="04D1473A"/>
    <w:rsid w:val="04D61EAD"/>
    <w:rsid w:val="059716B5"/>
    <w:rsid w:val="05A81851"/>
    <w:rsid w:val="05CC1CBC"/>
    <w:rsid w:val="05E24085"/>
    <w:rsid w:val="05F354CF"/>
    <w:rsid w:val="05F72D72"/>
    <w:rsid w:val="05FA4E5A"/>
    <w:rsid w:val="05FE2A0D"/>
    <w:rsid w:val="060B165B"/>
    <w:rsid w:val="06362B15"/>
    <w:rsid w:val="06463EB9"/>
    <w:rsid w:val="06D5548B"/>
    <w:rsid w:val="06D95393"/>
    <w:rsid w:val="06FD4A61"/>
    <w:rsid w:val="075D3D6E"/>
    <w:rsid w:val="07636CEE"/>
    <w:rsid w:val="076616B4"/>
    <w:rsid w:val="07CE0E77"/>
    <w:rsid w:val="07E960F2"/>
    <w:rsid w:val="07E9750A"/>
    <w:rsid w:val="08041008"/>
    <w:rsid w:val="08293582"/>
    <w:rsid w:val="083E1F86"/>
    <w:rsid w:val="084B6BD3"/>
    <w:rsid w:val="08964D18"/>
    <w:rsid w:val="08A81E8E"/>
    <w:rsid w:val="08A953EB"/>
    <w:rsid w:val="08BF34EA"/>
    <w:rsid w:val="08CB01CD"/>
    <w:rsid w:val="08DE7AA1"/>
    <w:rsid w:val="08F224CC"/>
    <w:rsid w:val="09652455"/>
    <w:rsid w:val="09C049FF"/>
    <w:rsid w:val="09D81C3A"/>
    <w:rsid w:val="09E27CC3"/>
    <w:rsid w:val="0A095EAE"/>
    <w:rsid w:val="0A21436D"/>
    <w:rsid w:val="0A554699"/>
    <w:rsid w:val="0A8943FF"/>
    <w:rsid w:val="0AAB7478"/>
    <w:rsid w:val="0AC63EEB"/>
    <w:rsid w:val="0ADC3B43"/>
    <w:rsid w:val="0AE62FA8"/>
    <w:rsid w:val="0AF408A3"/>
    <w:rsid w:val="0AFE62A4"/>
    <w:rsid w:val="0B1D2727"/>
    <w:rsid w:val="0B3771E9"/>
    <w:rsid w:val="0B475C2E"/>
    <w:rsid w:val="0B7C30DD"/>
    <w:rsid w:val="0BA561C5"/>
    <w:rsid w:val="0BBB0ACD"/>
    <w:rsid w:val="0BE2658C"/>
    <w:rsid w:val="0C0176DC"/>
    <w:rsid w:val="0C0D4B25"/>
    <w:rsid w:val="0C3B0157"/>
    <w:rsid w:val="0D0D5AED"/>
    <w:rsid w:val="0D446A90"/>
    <w:rsid w:val="0D4A445F"/>
    <w:rsid w:val="0D8717D3"/>
    <w:rsid w:val="0D936E6E"/>
    <w:rsid w:val="0DF1543E"/>
    <w:rsid w:val="0E325C09"/>
    <w:rsid w:val="0E540C10"/>
    <w:rsid w:val="0E5713F9"/>
    <w:rsid w:val="0E822FF4"/>
    <w:rsid w:val="0EB54050"/>
    <w:rsid w:val="0F0E7940"/>
    <w:rsid w:val="0F2A5028"/>
    <w:rsid w:val="0F480C20"/>
    <w:rsid w:val="0F4C03BA"/>
    <w:rsid w:val="0F631D74"/>
    <w:rsid w:val="0F7937ED"/>
    <w:rsid w:val="0F7D5767"/>
    <w:rsid w:val="0F882027"/>
    <w:rsid w:val="0FAA3A9B"/>
    <w:rsid w:val="0FAD1483"/>
    <w:rsid w:val="10077B35"/>
    <w:rsid w:val="100F1A5B"/>
    <w:rsid w:val="106458A4"/>
    <w:rsid w:val="10BC311F"/>
    <w:rsid w:val="10D8730C"/>
    <w:rsid w:val="10DE4BE5"/>
    <w:rsid w:val="10FC0382"/>
    <w:rsid w:val="11740C7A"/>
    <w:rsid w:val="11786333"/>
    <w:rsid w:val="1184609E"/>
    <w:rsid w:val="1197075A"/>
    <w:rsid w:val="11BC6833"/>
    <w:rsid w:val="11CE540F"/>
    <w:rsid w:val="11EF29E0"/>
    <w:rsid w:val="128257D0"/>
    <w:rsid w:val="131F3D3D"/>
    <w:rsid w:val="1361143D"/>
    <w:rsid w:val="13E35118"/>
    <w:rsid w:val="13E52B7C"/>
    <w:rsid w:val="14033156"/>
    <w:rsid w:val="140753F8"/>
    <w:rsid w:val="14193604"/>
    <w:rsid w:val="141D437D"/>
    <w:rsid w:val="14667BF8"/>
    <w:rsid w:val="14A624F0"/>
    <w:rsid w:val="14AD2475"/>
    <w:rsid w:val="14D61C91"/>
    <w:rsid w:val="15C04B78"/>
    <w:rsid w:val="15DE7A08"/>
    <w:rsid w:val="15EA419E"/>
    <w:rsid w:val="15F07C33"/>
    <w:rsid w:val="16425B91"/>
    <w:rsid w:val="16622475"/>
    <w:rsid w:val="171C7BA4"/>
    <w:rsid w:val="17533A51"/>
    <w:rsid w:val="17C5460C"/>
    <w:rsid w:val="17F3666C"/>
    <w:rsid w:val="18155A97"/>
    <w:rsid w:val="184F11C2"/>
    <w:rsid w:val="18653FE4"/>
    <w:rsid w:val="19091760"/>
    <w:rsid w:val="19273916"/>
    <w:rsid w:val="195E2876"/>
    <w:rsid w:val="197F3421"/>
    <w:rsid w:val="1996003E"/>
    <w:rsid w:val="199D1425"/>
    <w:rsid w:val="19AE51BC"/>
    <w:rsid w:val="19AF3837"/>
    <w:rsid w:val="19CB67C5"/>
    <w:rsid w:val="19F42E76"/>
    <w:rsid w:val="1A027439"/>
    <w:rsid w:val="1A2F7A9F"/>
    <w:rsid w:val="1A981A86"/>
    <w:rsid w:val="1AA3225B"/>
    <w:rsid w:val="1AB803A1"/>
    <w:rsid w:val="1AE45253"/>
    <w:rsid w:val="1AF6688A"/>
    <w:rsid w:val="1B293B21"/>
    <w:rsid w:val="1B574D0F"/>
    <w:rsid w:val="1B5C66AF"/>
    <w:rsid w:val="1B8A1294"/>
    <w:rsid w:val="1B98600F"/>
    <w:rsid w:val="1BB40831"/>
    <w:rsid w:val="1BD31DAE"/>
    <w:rsid w:val="1C1063AA"/>
    <w:rsid w:val="1C31214D"/>
    <w:rsid w:val="1C3A2544"/>
    <w:rsid w:val="1C4C1E75"/>
    <w:rsid w:val="1CD71AE0"/>
    <w:rsid w:val="1CDE0E33"/>
    <w:rsid w:val="1D3A7AB3"/>
    <w:rsid w:val="1D695887"/>
    <w:rsid w:val="1D862564"/>
    <w:rsid w:val="1D8F4112"/>
    <w:rsid w:val="1DB96640"/>
    <w:rsid w:val="1E605D06"/>
    <w:rsid w:val="1EDE23C2"/>
    <w:rsid w:val="1F1A503E"/>
    <w:rsid w:val="1F366229"/>
    <w:rsid w:val="1F427E9C"/>
    <w:rsid w:val="1F805E0E"/>
    <w:rsid w:val="1FF74372"/>
    <w:rsid w:val="20030F48"/>
    <w:rsid w:val="200D373C"/>
    <w:rsid w:val="2047139D"/>
    <w:rsid w:val="204A7959"/>
    <w:rsid w:val="20982E05"/>
    <w:rsid w:val="20A40CE1"/>
    <w:rsid w:val="20C14090"/>
    <w:rsid w:val="20C624FD"/>
    <w:rsid w:val="20ED053C"/>
    <w:rsid w:val="20FD0E73"/>
    <w:rsid w:val="21114CA4"/>
    <w:rsid w:val="21191424"/>
    <w:rsid w:val="211A0780"/>
    <w:rsid w:val="212840BF"/>
    <w:rsid w:val="215241DE"/>
    <w:rsid w:val="21771E96"/>
    <w:rsid w:val="21AB64FC"/>
    <w:rsid w:val="21D55E36"/>
    <w:rsid w:val="22381A79"/>
    <w:rsid w:val="225F7733"/>
    <w:rsid w:val="228C7907"/>
    <w:rsid w:val="2296454F"/>
    <w:rsid w:val="22C97907"/>
    <w:rsid w:val="22F91AFD"/>
    <w:rsid w:val="232A0330"/>
    <w:rsid w:val="232C2F38"/>
    <w:rsid w:val="234B4FD9"/>
    <w:rsid w:val="234F708B"/>
    <w:rsid w:val="236952FE"/>
    <w:rsid w:val="23C60023"/>
    <w:rsid w:val="247139EF"/>
    <w:rsid w:val="24787AE2"/>
    <w:rsid w:val="248F647F"/>
    <w:rsid w:val="24B40756"/>
    <w:rsid w:val="24F22A13"/>
    <w:rsid w:val="25132E99"/>
    <w:rsid w:val="251E4CAB"/>
    <w:rsid w:val="25227652"/>
    <w:rsid w:val="252F737D"/>
    <w:rsid w:val="258925C3"/>
    <w:rsid w:val="258C4FF3"/>
    <w:rsid w:val="25AB74EE"/>
    <w:rsid w:val="25D81723"/>
    <w:rsid w:val="25E411E5"/>
    <w:rsid w:val="2603025F"/>
    <w:rsid w:val="261C1CCB"/>
    <w:rsid w:val="2627309B"/>
    <w:rsid w:val="263200E3"/>
    <w:rsid w:val="26337793"/>
    <w:rsid w:val="26601652"/>
    <w:rsid w:val="266D329C"/>
    <w:rsid w:val="2679680C"/>
    <w:rsid w:val="26C724B6"/>
    <w:rsid w:val="26EC10A0"/>
    <w:rsid w:val="2716560F"/>
    <w:rsid w:val="27A559B2"/>
    <w:rsid w:val="27B01A19"/>
    <w:rsid w:val="27C801CE"/>
    <w:rsid w:val="27CB6237"/>
    <w:rsid w:val="27F30730"/>
    <w:rsid w:val="27FB22FE"/>
    <w:rsid w:val="28077830"/>
    <w:rsid w:val="2827176D"/>
    <w:rsid w:val="28283F6C"/>
    <w:rsid w:val="28287CEE"/>
    <w:rsid w:val="28447E4A"/>
    <w:rsid w:val="287E1FE0"/>
    <w:rsid w:val="28BF02AC"/>
    <w:rsid w:val="28C10FB7"/>
    <w:rsid w:val="28C71149"/>
    <w:rsid w:val="28D04CFA"/>
    <w:rsid w:val="28E104CD"/>
    <w:rsid w:val="29033B39"/>
    <w:rsid w:val="29090FC0"/>
    <w:rsid w:val="291B4A9A"/>
    <w:rsid w:val="29836D9F"/>
    <w:rsid w:val="29CB4C4B"/>
    <w:rsid w:val="29CC6FD6"/>
    <w:rsid w:val="29DA3501"/>
    <w:rsid w:val="2A1A1AFC"/>
    <w:rsid w:val="2A386932"/>
    <w:rsid w:val="2A674933"/>
    <w:rsid w:val="2A90253E"/>
    <w:rsid w:val="2AC71207"/>
    <w:rsid w:val="2AC76D23"/>
    <w:rsid w:val="2B284874"/>
    <w:rsid w:val="2B562FD0"/>
    <w:rsid w:val="2B607DFD"/>
    <w:rsid w:val="2BA35436"/>
    <w:rsid w:val="2BCE4D6C"/>
    <w:rsid w:val="2C117204"/>
    <w:rsid w:val="2C1A76C8"/>
    <w:rsid w:val="2C251A06"/>
    <w:rsid w:val="2C332363"/>
    <w:rsid w:val="2D2F36F2"/>
    <w:rsid w:val="2D4520D2"/>
    <w:rsid w:val="2D60796E"/>
    <w:rsid w:val="2D830B21"/>
    <w:rsid w:val="2D883799"/>
    <w:rsid w:val="2DCF4F91"/>
    <w:rsid w:val="2DF439A6"/>
    <w:rsid w:val="2E166862"/>
    <w:rsid w:val="2E717347"/>
    <w:rsid w:val="2EFE41C9"/>
    <w:rsid w:val="2F0C5742"/>
    <w:rsid w:val="2F67006D"/>
    <w:rsid w:val="2F9F4892"/>
    <w:rsid w:val="2FC0622F"/>
    <w:rsid w:val="2FD57EE3"/>
    <w:rsid w:val="2FD818E5"/>
    <w:rsid w:val="2FF22623"/>
    <w:rsid w:val="300214FB"/>
    <w:rsid w:val="30342063"/>
    <w:rsid w:val="30347837"/>
    <w:rsid w:val="306B6BD2"/>
    <w:rsid w:val="30804696"/>
    <w:rsid w:val="308F40BE"/>
    <w:rsid w:val="30B426F8"/>
    <w:rsid w:val="30C82195"/>
    <w:rsid w:val="312A6AFB"/>
    <w:rsid w:val="3130368E"/>
    <w:rsid w:val="31633608"/>
    <w:rsid w:val="31E831D7"/>
    <w:rsid w:val="32267734"/>
    <w:rsid w:val="32330788"/>
    <w:rsid w:val="32846574"/>
    <w:rsid w:val="32B52D1C"/>
    <w:rsid w:val="32CB0686"/>
    <w:rsid w:val="32D250EF"/>
    <w:rsid w:val="330E6F84"/>
    <w:rsid w:val="339131A2"/>
    <w:rsid w:val="33AE0287"/>
    <w:rsid w:val="33C66573"/>
    <w:rsid w:val="33D01E3A"/>
    <w:rsid w:val="3410227E"/>
    <w:rsid w:val="3424621A"/>
    <w:rsid w:val="34277B2C"/>
    <w:rsid w:val="342C62AB"/>
    <w:rsid w:val="347A0A28"/>
    <w:rsid w:val="348B26F4"/>
    <w:rsid w:val="348C0943"/>
    <w:rsid w:val="34BA04CB"/>
    <w:rsid w:val="34FD2B90"/>
    <w:rsid w:val="35266248"/>
    <w:rsid w:val="3554220F"/>
    <w:rsid w:val="356C5106"/>
    <w:rsid w:val="35975B7E"/>
    <w:rsid w:val="35AC554D"/>
    <w:rsid w:val="35C0308E"/>
    <w:rsid w:val="35CD02D7"/>
    <w:rsid w:val="35D2691D"/>
    <w:rsid w:val="35D54CFE"/>
    <w:rsid w:val="35F75772"/>
    <w:rsid w:val="360754F3"/>
    <w:rsid w:val="36293BE7"/>
    <w:rsid w:val="36450AE3"/>
    <w:rsid w:val="369B2A88"/>
    <w:rsid w:val="376F102D"/>
    <w:rsid w:val="378D2AFC"/>
    <w:rsid w:val="379710B1"/>
    <w:rsid w:val="37A64AC3"/>
    <w:rsid w:val="37AE430C"/>
    <w:rsid w:val="37D46AA1"/>
    <w:rsid w:val="37DB421D"/>
    <w:rsid w:val="37F43625"/>
    <w:rsid w:val="384F4B9C"/>
    <w:rsid w:val="38786FD4"/>
    <w:rsid w:val="388562F5"/>
    <w:rsid w:val="38A478F3"/>
    <w:rsid w:val="38A5516B"/>
    <w:rsid w:val="38EA6C82"/>
    <w:rsid w:val="391326C3"/>
    <w:rsid w:val="391F46BE"/>
    <w:rsid w:val="39A4520F"/>
    <w:rsid w:val="39A566E1"/>
    <w:rsid w:val="39A760E0"/>
    <w:rsid w:val="3A0F2798"/>
    <w:rsid w:val="3A1A2010"/>
    <w:rsid w:val="3A6009A3"/>
    <w:rsid w:val="3A804D20"/>
    <w:rsid w:val="3AA37D9C"/>
    <w:rsid w:val="3AC4722E"/>
    <w:rsid w:val="3AF11B9B"/>
    <w:rsid w:val="3B284A67"/>
    <w:rsid w:val="3B4B4390"/>
    <w:rsid w:val="3B5370AE"/>
    <w:rsid w:val="3B567C2E"/>
    <w:rsid w:val="3BF47EEA"/>
    <w:rsid w:val="3C236290"/>
    <w:rsid w:val="3C2E3407"/>
    <w:rsid w:val="3C381DA7"/>
    <w:rsid w:val="3C3C51BB"/>
    <w:rsid w:val="3C77250E"/>
    <w:rsid w:val="3D7725E5"/>
    <w:rsid w:val="3D803B88"/>
    <w:rsid w:val="3D804C1C"/>
    <w:rsid w:val="3DA56F35"/>
    <w:rsid w:val="3E02038A"/>
    <w:rsid w:val="3E155DE9"/>
    <w:rsid w:val="3E2128D2"/>
    <w:rsid w:val="3E3A148F"/>
    <w:rsid w:val="3ECA22D5"/>
    <w:rsid w:val="3ECD7472"/>
    <w:rsid w:val="3ED7746D"/>
    <w:rsid w:val="3EF26821"/>
    <w:rsid w:val="3EF65D19"/>
    <w:rsid w:val="3F20354C"/>
    <w:rsid w:val="3F4B1F04"/>
    <w:rsid w:val="3F4F5F14"/>
    <w:rsid w:val="3F735328"/>
    <w:rsid w:val="3F8A0D25"/>
    <w:rsid w:val="3FC57278"/>
    <w:rsid w:val="3FF24EF7"/>
    <w:rsid w:val="40371D86"/>
    <w:rsid w:val="40BC1625"/>
    <w:rsid w:val="40F53612"/>
    <w:rsid w:val="40FE68E4"/>
    <w:rsid w:val="41023A08"/>
    <w:rsid w:val="411D2BEF"/>
    <w:rsid w:val="413D645B"/>
    <w:rsid w:val="41447C4C"/>
    <w:rsid w:val="415359D6"/>
    <w:rsid w:val="417B77DD"/>
    <w:rsid w:val="41D460C9"/>
    <w:rsid w:val="41D83ED1"/>
    <w:rsid w:val="41E95F83"/>
    <w:rsid w:val="427144F6"/>
    <w:rsid w:val="427A775D"/>
    <w:rsid w:val="43690F78"/>
    <w:rsid w:val="43717106"/>
    <w:rsid w:val="437E6F68"/>
    <w:rsid w:val="438D4489"/>
    <w:rsid w:val="43D31472"/>
    <w:rsid w:val="43D61FD7"/>
    <w:rsid w:val="43E20710"/>
    <w:rsid w:val="43E57F66"/>
    <w:rsid w:val="43EC3A33"/>
    <w:rsid w:val="440B38CA"/>
    <w:rsid w:val="443F3167"/>
    <w:rsid w:val="446C53D8"/>
    <w:rsid w:val="44D501D8"/>
    <w:rsid w:val="44E75BAE"/>
    <w:rsid w:val="453523E3"/>
    <w:rsid w:val="45380485"/>
    <w:rsid w:val="456C77E1"/>
    <w:rsid w:val="45D20D81"/>
    <w:rsid w:val="45F86F2E"/>
    <w:rsid w:val="46227E92"/>
    <w:rsid w:val="46236CD8"/>
    <w:rsid w:val="467442F6"/>
    <w:rsid w:val="468E27CD"/>
    <w:rsid w:val="46922CA6"/>
    <w:rsid w:val="46924152"/>
    <w:rsid w:val="46D94182"/>
    <w:rsid w:val="476E1A48"/>
    <w:rsid w:val="479C6766"/>
    <w:rsid w:val="47B97585"/>
    <w:rsid w:val="47C85F75"/>
    <w:rsid w:val="47EA446B"/>
    <w:rsid w:val="47EC6B58"/>
    <w:rsid w:val="47F02E59"/>
    <w:rsid w:val="47FA35E1"/>
    <w:rsid w:val="47FA64CB"/>
    <w:rsid w:val="4806073F"/>
    <w:rsid w:val="48332624"/>
    <w:rsid w:val="48432AED"/>
    <w:rsid w:val="489C28E8"/>
    <w:rsid w:val="48A32BEE"/>
    <w:rsid w:val="48B12D0A"/>
    <w:rsid w:val="492F554F"/>
    <w:rsid w:val="497133FE"/>
    <w:rsid w:val="498737AF"/>
    <w:rsid w:val="49B43126"/>
    <w:rsid w:val="4A257FF2"/>
    <w:rsid w:val="4A2C093E"/>
    <w:rsid w:val="4A391054"/>
    <w:rsid w:val="4A914AC0"/>
    <w:rsid w:val="4AC24438"/>
    <w:rsid w:val="4ACF70B7"/>
    <w:rsid w:val="4AD74A1B"/>
    <w:rsid w:val="4ADF68D1"/>
    <w:rsid w:val="4AEB0EE5"/>
    <w:rsid w:val="4B1414C1"/>
    <w:rsid w:val="4B2A5009"/>
    <w:rsid w:val="4B3E0AE7"/>
    <w:rsid w:val="4B3E6B8F"/>
    <w:rsid w:val="4B442751"/>
    <w:rsid w:val="4B562898"/>
    <w:rsid w:val="4B8E42AD"/>
    <w:rsid w:val="4B8E48F9"/>
    <w:rsid w:val="4BCF3BFD"/>
    <w:rsid w:val="4BDA32B6"/>
    <w:rsid w:val="4C057263"/>
    <w:rsid w:val="4C0D0003"/>
    <w:rsid w:val="4C1F7C47"/>
    <w:rsid w:val="4CA26168"/>
    <w:rsid w:val="4CB71610"/>
    <w:rsid w:val="4D297D3C"/>
    <w:rsid w:val="4D322FD0"/>
    <w:rsid w:val="4DF531F9"/>
    <w:rsid w:val="4DF85111"/>
    <w:rsid w:val="4E2C78BB"/>
    <w:rsid w:val="4E350DE4"/>
    <w:rsid w:val="4E8816ED"/>
    <w:rsid w:val="4F3855EC"/>
    <w:rsid w:val="4F453C66"/>
    <w:rsid w:val="4F480775"/>
    <w:rsid w:val="4F9D097C"/>
    <w:rsid w:val="4FB86BF8"/>
    <w:rsid w:val="4FC41575"/>
    <w:rsid w:val="4FCD5A5A"/>
    <w:rsid w:val="4FDC5466"/>
    <w:rsid w:val="4FFB1E07"/>
    <w:rsid w:val="504D153A"/>
    <w:rsid w:val="505754F8"/>
    <w:rsid w:val="50596B1B"/>
    <w:rsid w:val="514C35D0"/>
    <w:rsid w:val="518D47A2"/>
    <w:rsid w:val="51D10775"/>
    <w:rsid w:val="51EA3B54"/>
    <w:rsid w:val="51F14C6C"/>
    <w:rsid w:val="52397698"/>
    <w:rsid w:val="526507FA"/>
    <w:rsid w:val="527B4D0D"/>
    <w:rsid w:val="52DF0508"/>
    <w:rsid w:val="52E41F0D"/>
    <w:rsid w:val="52EA20AC"/>
    <w:rsid w:val="53153628"/>
    <w:rsid w:val="53496A03"/>
    <w:rsid w:val="53855D28"/>
    <w:rsid w:val="53AB68B5"/>
    <w:rsid w:val="53C45D5C"/>
    <w:rsid w:val="54463F9A"/>
    <w:rsid w:val="545A1725"/>
    <w:rsid w:val="54C8585C"/>
    <w:rsid w:val="54E175D8"/>
    <w:rsid w:val="55004A57"/>
    <w:rsid w:val="553605C9"/>
    <w:rsid w:val="5537481E"/>
    <w:rsid w:val="554F532E"/>
    <w:rsid w:val="558125E2"/>
    <w:rsid w:val="559E470A"/>
    <w:rsid w:val="55C72502"/>
    <w:rsid w:val="562548E2"/>
    <w:rsid w:val="56583B25"/>
    <w:rsid w:val="56667C5F"/>
    <w:rsid w:val="56E97A29"/>
    <w:rsid w:val="573B6867"/>
    <w:rsid w:val="5754074F"/>
    <w:rsid w:val="57702AA9"/>
    <w:rsid w:val="578D3CE2"/>
    <w:rsid w:val="57A1206C"/>
    <w:rsid w:val="57C10642"/>
    <w:rsid w:val="57C64DAF"/>
    <w:rsid w:val="58077A8D"/>
    <w:rsid w:val="580C109C"/>
    <w:rsid w:val="584B7F20"/>
    <w:rsid w:val="58607A37"/>
    <w:rsid w:val="588A11FF"/>
    <w:rsid w:val="58C713AF"/>
    <w:rsid w:val="58DE2E20"/>
    <w:rsid w:val="590C60DD"/>
    <w:rsid w:val="59235193"/>
    <w:rsid w:val="593364E1"/>
    <w:rsid w:val="59EC2B03"/>
    <w:rsid w:val="5A6D2AFF"/>
    <w:rsid w:val="5AD043A1"/>
    <w:rsid w:val="5B530A79"/>
    <w:rsid w:val="5B58018C"/>
    <w:rsid w:val="5B5902E7"/>
    <w:rsid w:val="5B6733DF"/>
    <w:rsid w:val="5B6B0506"/>
    <w:rsid w:val="5BBA67A1"/>
    <w:rsid w:val="5C02016D"/>
    <w:rsid w:val="5C186ED1"/>
    <w:rsid w:val="5C4F2250"/>
    <w:rsid w:val="5C7F6F80"/>
    <w:rsid w:val="5C9C00FF"/>
    <w:rsid w:val="5CC9014E"/>
    <w:rsid w:val="5D5A6E45"/>
    <w:rsid w:val="5D803492"/>
    <w:rsid w:val="5D8F266B"/>
    <w:rsid w:val="5DE140AA"/>
    <w:rsid w:val="5DF51CFB"/>
    <w:rsid w:val="5DF91007"/>
    <w:rsid w:val="5E13020F"/>
    <w:rsid w:val="5E52311F"/>
    <w:rsid w:val="5EC04765"/>
    <w:rsid w:val="5EE0148D"/>
    <w:rsid w:val="5F28007B"/>
    <w:rsid w:val="5F3416E4"/>
    <w:rsid w:val="5F7F4861"/>
    <w:rsid w:val="5FB4732E"/>
    <w:rsid w:val="5FC116AC"/>
    <w:rsid w:val="5FC66E8E"/>
    <w:rsid w:val="5FF83BC5"/>
    <w:rsid w:val="603D7439"/>
    <w:rsid w:val="60695AB9"/>
    <w:rsid w:val="606D0C16"/>
    <w:rsid w:val="608337E2"/>
    <w:rsid w:val="60966BB4"/>
    <w:rsid w:val="60A20520"/>
    <w:rsid w:val="60D22EA5"/>
    <w:rsid w:val="60EF5D26"/>
    <w:rsid w:val="611316A0"/>
    <w:rsid w:val="61271964"/>
    <w:rsid w:val="61316552"/>
    <w:rsid w:val="617A4E7D"/>
    <w:rsid w:val="61B31C3F"/>
    <w:rsid w:val="61D31F51"/>
    <w:rsid w:val="61F26A0C"/>
    <w:rsid w:val="61F544F3"/>
    <w:rsid w:val="621D7C40"/>
    <w:rsid w:val="623E4AE6"/>
    <w:rsid w:val="624F24DB"/>
    <w:rsid w:val="62575CE7"/>
    <w:rsid w:val="62CE7766"/>
    <w:rsid w:val="62E5413B"/>
    <w:rsid w:val="63560A4F"/>
    <w:rsid w:val="63807109"/>
    <w:rsid w:val="638C3D00"/>
    <w:rsid w:val="63AD73A6"/>
    <w:rsid w:val="63BB52AC"/>
    <w:rsid w:val="640C0830"/>
    <w:rsid w:val="64372E3C"/>
    <w:rsid w:val="647A49C2"/>
    <w:rsid w:val="64A77044"/>
    <w:rsid w:val="64B65FEA"/>
    <w:rsid w:val="64B8674B"/>
    <w:rsid w:val="64FF08A5"/>
    <w:rsid w:val="651238E3"/>
    <w:rsid w:val="655A0834"/>
    <w:rsid w:val="65CD44FD"/>
    <w:rsid w:val="65D17A94"/>
    <w:rsid w:val="66042D2C"/>
    <w:rsid w:val="664C204E"/>
    <w:rsid w:val="66814AB1"/>
    <w:rsid w:val="66951888"/>
    <w:rsid w:val="66B8028F"/>
    <w:rsid w:val="66D3572C"/>
    <w:rsid w:val="66D8146E"/>
    <w:rsid w:val="66E2417C"/>
    <w:rsid w:val="670A252B"/>
    <w:rsid w:val="67295F25"/>
    <w:rsid w:val="67377F81"/>
    <w:rsid w:val="674D2BB6"/>
    <w:rsid w:val="67B71F35"/>
    <w:rsid w:val="67BD45E9"/>
    <w:rsid w:val="67E61A66"/>
    <w:rsid w:val="67F75072"/>
    <w:rsid w:val="682D3495"/>
    <w:rsid w:val="68467849"/>
    <w:rsid w:val="68560A14"/>
    <w:rsid w:val="68D15606"/>
    <w:rsid w:val="68EC4282"/>
    <w:rsid w:val="69636407"/>
    <w:rsid w:val="699B7963"/>
    <w:rsid w:val="69EA46E0"/>
    <w:rsid w:val="69F55804"/>
    <w:rsid w:val="6A8A7E2A"/>
    <w:rsid w:val="6A9638C9"/>
    <w:rsid w:val="6AD51316"/>
    <w:rsid w:val="6B7B45C8"/>
    <w:rsid w:val="6BBE706F"/>
    <w:rsid w:val="6BDD375A"/>
    <w:rsid w:val="6BEA0DCD"/>
    <w:rsid w:val="6C1A6F0E"/>
    <w:rsid w:val="6C1C60A1"/>
    <w:rsid w:val="6C5266B1"/>
    <w:rsid w:val="6C6B032A"/>
    <w:rsid w:val="6D1102ED"/>
    <w:rsid w:val="6D554757"/>
    <w:rsid w:val="6DA3446C"/>
    <w:rsid w:val="6DA42328"/>
    <w:rsid w:val="6E2B67BC"/>
    <w:rsid w:val="6E30322B"/>
    <w:rsid w:val="6E306997"/>
    <w:rsid w:val="6E4E6CBE"/>
    <w:rsid w:val="6EAD34A8"/>
    <w:rsid w:val="6EB75E0D"/>
    <w:rsid w:val="6EC12F19"/>
    <w:rsid w:val="6F1859E8"/>
    <w:rsid w:val="6F350388"/>
    <w:rsid w:val="6F3E1F7E"/>
    <w:rsid w:val="6F6C2BBD"/>
    <w:rsid w:val="6F752637"/>
    <w:rsid w:val="6F894BD7"/>
    <w:rsid w:val="6FCF3162"/>
    <w:rsid w:val="6FDA3A0D"/>
    <w:rsid w:val="705D0061"/>
    <w:rsid w:val="70CA6480"/>
    <w:rsid w:val="70E97D9A"/>
    <w:rsid w:val="70F419BB"/>
    <w:rsid w:val="70F8055D"/>
    <w:rsid w:val="71085674"/>
    <w:rsid w:val="71270B17"/>
    <w:rsid w:val="71513F36"/>
    <w:rsid w:val="71717EE1"/>
    <w:rsid w:val="718C3550"/>
    <w:rsid w:val="719428F9"/>
    <w:rsid w:val="71943BE1"/>
    <w:rsid w:val="721E0B02"/>
    <w:rsid w:val="723D4B43"/>
    <w:rsid w:val="72D13CDB"/>
    <w:rsid w:val="73252F15"/>
    <w:rsid w:val="733D283A"/>
    <w:rsid w:val="73802C2C"/>
    <w:rsid w:val="73845415"/>
    <w:rsid w:val="73A22581"/>
    <w:rsid w:val="73BF5FDB"/>
    <w:rsid w:val="73E678A9"/>
    <w:rsid w:val="73FA30EB"/>
    <w:rsid w:val="741C3F5E"/>
    <w:rsid w:val="74377118"/>
    <w:rsid w:val="748323B7"/>
    <w:rsid w:val="748E1F5C"/>
    <w:rsid w:val="74A04E39"/>
    <w:rsid w:val="74B01B1A"/>
    <w:rsid w:val="75201B39"/>
    <w:rsid w:val="753901A6"/>
    <w:rsid w:val="7554669F"/>
    <w:rsid w:val="75797AA5"/>
    <w:rsid w:val="75C57D37"/>
    <w:rsid w:val="75C85545"/>
    <w:rsid w:val="75E952FC"/>
    <w:rsid w:val="764A75B0"/>
    <w:rsid w:val="76D0766A"/>
    <w:rsid w:val="76E07CDB"/>
    <w:rsid w:val="772A5761"/>
    <w:rsid w:val="774722B6"/>
    <w:rsid w:val="77797ABB"/>
    <w:rsid w:val="778F2D2F"/>
    <w:rsid w:val="77A46D36"/>
    <w:rsid w:val="77BC45A3"/>
    <w:rsid w:val="77D31868"/>
    <w:rsid w:val="77EB3C00"/>
    <w:rsid w:val="77F7386F"/>
    <w:rsid w:val="78061532"/>
    <w:rsid w:val="78223734"/>
    <w:rsid w:val="78435220"/>
    <w:rsid w:val="785E0D79"/>
    <w:rsid w:val="78796F0D"/>
    <w:rsid w:val="788C6E05"/>
    <w:rsid w:val="789456D9"/>
    <w:rsid w:val="78990D6C"/>
    <w:rsid w:val="78E56EB0"/>
    <w:rsid w:val="79036AC9"/>
    <w:rsid w:val="79336D77"/>
    <w:rsid w:val="79942839"/>
    <w:rsid w:val="79A31411"/>
    <w:rsid w:val="79C27653"/>
    <w:rsid w:val="79C40291"/>
    <w:rsid w:val="79D558D0"/>
    <w:rsid w:val="79E13D07"/>
    <w:rsid w:val="7A163A32"/>
    <w:rsid w:val="7A696F05"/>
    <w:rsid w:val="7A84541B"/>
    <w:rsid w:val="7A8851E7"/>
    <w:rsid w:val="7BCB6C69"/>
    <w:rsid w:val="7BD80ACB"/>
    <w:rsid w:val="7BFF337A"/>
    <w:rsid w:val="7C3A142A"/>
    <w:rsid w:val="7C777908"/>
    <w:rsid w:val="7CDE126C"/>
    <w:rsid w:val="7D0D2D20"/>
    <w:rsid w:val="7D34215E"/>
    <w:rsid w:val="7D8B2514"/>
    <w:rsid w:val="7D8C7A38"/>
    <w:rsid w:val="7DCD292D"/>
    <w:rsid w:val="7E100F8A"/>
    <w:rsid w:val="7E2140B9"/>
    <w:rsid w:val="7E67616B"/>
    <w:rsid w:val="7E887543"/>
    <w:rsid w:val="7EAF0BE9"/>
    <w:rsid w:val="7EC04375"/>
    <w:rsid w:val="7EEE26AE"/>
    <w:rsid w:val="7EEE75D6"/>
    <w:rsid w:val="7F3A4AAE"/>
    <w:rsid w:val="7F43711F"/>
    <w:rsid w:val="7FB70A57"/>
    <w:rsid w:val="7FB827DE"/>
    <w:rsid w:val="7FF0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宋体" w:cs="黑体"/>
      <w:sz w:val="24"/>
      <w:szCs w:val="22"/>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kern w:val="44"/>
      <w:sz w:val="44"/>
    </w:rPr>
  </w:style>
  <w:style w:type="paragraph" w:styleId="4">
    <w:name w:val="heading 2"/>
    <w:basedOn w:val="1"/>
    <w:next w:val="1"/>
    <w:autoRedefine/>
    <w:qFormat/>
    <w:uiPriority w:val="0"/>
    <w:pPr>
      <w:keepNext/>
      <w:keepLines/>
      <w:widowControl w:val="0"/>
      <w:overflowPunct w:val="0"/>
      <w:adjustRightInd w:val="0"/>
      <w:jc w:val="center"/>
      <w:textAlignment w:val="baseline"/>
      <w:outlineLvl w:val="1"/>
    </w:pPr>
    <w:rPr>
      <w:rFonts w:ascii="宋体" w:hAnsi="宋体" w:eastAsia="楷体_GB2312"/>
      <w:b/>
      <w:kern w:val="2"/>
      <w:sz w:val="44"/>
    </w:rPr>
  </w:style>
  <w:style w:type="paragraph" w:styleId="5">
    <w:name w:val="heading 3"/>
    <w:basedOn w:val="1"/>
    <w:next w:val="1"/>
    <w:autoRedefine/>
    <w:qFormat/>
    <w:uiPriority w:val="0"/>
    <w:pPr>
      <w:keepNext/>
      <w:keepLines/>
      <w:widowControl w:val="0"/>
      <w:spacing w:before="260" w:after="260" w:line="415" w:lineRule="auto"/>
      <w:jc w:val="both"/>
      <w:outlineLvl w:val="2"/>
    </w:pPr>
    <w:rPr>
      <w:b/>
      <w:kern w:val="2"/>
      <w:sz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cs="Arial"/>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7">
    <w:name w:val="Normal Indent"/>
    <w:basedOn w:val="1"/>
    <w:autoRedefine/>
    <w:qFormat/>
    <w:uiPriority w:val="0"/>
    <w:pPr>
      <w:adjustRightInd w:val="0"/>
      <w:ind w:firstLine="420"/>
      <w:textAlignment w:val="baseline"/>
    </w:pPr>
  </w:style>
  <w:style w:type="paragraph" w:styleId="8">
    <w:name w:val="Document Map"/>
    <w:basedOn w:val="1"/>
    <w:link w:val="42"/>
    <w:autoRedefine/>
    <w:qFormat/>
    <w:uiPriority w:val="0"/>
    <w:rPr>
      <w:rFonts w:ascii="宋体" w:cs="Times New Roman"/>
      <w:sz w:val="18"/>
      <w:szCs w:val="18"/>
    </w:rPr>
  </w:style>
  <w:style w:type="paragraph" w:styleId="9">
    <w:name w:val="annotation text"/>
    <w:basedOn w:val="1"/>
    <w:link w:val="43"/>
    <w:autoRedefine/>
    <w:qFormat/>
    <w:uiPriority w:val="0"/>
    <w:pPr>
      <w:widowControl w:val="0"/>
    </w:pPr>
    <w:rPr>
      <w:rFonts w:cs="Times New Roman"/>
      <w:kern w:val="2"/>
      <w:sz w:val="21"/>
      <w:szCs w:val="21"/>
    </w:rPr>
  </w:style>
  <w:style w:type="paragraph" w:styleId="10">
    <w:name w:val="Body Text"/>
    <w:basedOn w:val="1"/>
    <w:next w:val="1"/>
    <w:autoRedefine/>
    <w:qFormat/>
    <w:uiPriority w:val="0"/>
    <w:pPr>
      <w:snapToGrid w:val="0"/>
      <w:spacing w:line="300" w:lineRule="auto"/>
    </w:pPr>
    <w:rPr>
      <w:rFonts w:eastAsia="微软简楷体"/>
      <w:sz w:val="30"/>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autoRedefine/>
    <w:semiHidden/>
    <w:qFormat/>
    <w:uiPriority w:val="0"/>
    <w:pPr>
      <w:snapToGrid w:val="0"/>
    </w:pPr>
    <w:rPr>
      <w:rFonts w:ascii="Arial" w:hAnsi="Arial" w:cs="Arial"/>
    </w:rPr>
  </w:style>
  <w:style w:type="paragraph" w:styleId="13">
    <w:name w:val="Block Text"/>
    <w:basedOn w:val="1"/>
    <w:autoRedefine/>
    <w:qFormat/>
    <w:uiPriority w:val="0"/>
    <w:pPr>
      <w:autoSpaceDE w:val="0"/>
      <w:autoSpaceDN w:val="0"/>
      <w:adjustRightInd w:val="0"/>
      <w:ind w:left="256" w:right="6" w:firstLine="624" w:firstLineChars="200"/>
    </w:pPr>
    <w:rPr>
      <w:rFonts w:ascii="Times New Roman" w:hAnsi="Times New Roman" w:eastAsia="仿宋_GB2312" w:cs="Times New Roman"/>
      <w:sz w:val="28"/>
      <w:szCs w:val="20"/>
    </w:rPr>
  </w:style>
  <w:style w:type="paragraph" w:styleId="14">
    <w:name w:val="Plain Text"/>
    <w:basedOn w:val="1"/>
    <w:link w:val="44"/>
    <w:autoRedefine/>
    <w:qFormat/>
    <w:uiPriority w:val="0"/>
    <w:rPr>
      <w:rFonts w:ascii="宋体" w:hAnsi="Courier New" w:eastAsia="楷体_GB2312" w:cs="Times New Roman"/>
      <w:sz w:val="26"/>
    </w:rPr>
  </w:style>
  <w:style w:type="paragraph" w:styleId="15">
    <w:name w:val="Date"/>
    <w:basedOn w:val="1"/>
    <w:next w:val="1"/>
    <w:autoRedefine/>
    <w:qFormat/>
    <w:uiPriority w:val="0"/>
    <w:rPr>
      <w:szCs w:val="20"/>
    </w:rPr>
  </w:style>
  <w:style w:type="paragraph" w:styleId="16">
    <w:name w:val="Body Text Indent 2"/>
    <w:basedOn w:val="1"/>
    <w:autoRedefine/>
    <w:qFormat/>
    <w:uiPriority w:val="0"/>
    <w:pPr>
      <w:spacing w:line="420" w:lineRule="exact"/>
      <w:ind w:firstLine="955" w:firstLineChars="398"/>
    </w:pPr>
    <w:rPr>
      <w:rFonts w:ascii="楷体_GB2312" w:eastAsia="楷体_GB2312"/>
      <w:bCs/>
    </w:rPr>
  </w:style>
  <w:style w:type="paragraph" w:styleId="17">
    <w:name w:val="Balloon Text"/>
    <w:basedOn w:val="1"/>
    <w:autoRedefine/>
    <w:qFormat/>
    <w:uiPriority w:val="0"/>
    <w:rPr>
      <w:sz w:val="18"/>
    </w:rPr>
  </w:style>
  <w:style w:type="paragraph" w:styleId="18">
    <w:name w:val="footer"/>
    <w:basedOn w:val="1"/>
    <w:autoRedefine/>
    <w:qFormat/>
    <w:uiPriority w:val="0"/>
    <w:pPr>
      <w:tabs>
        <w:tab w:val="center" w:pos="4153"/>
        <w:tab w:val="right" w:pos="8306"/>
      </w:tabs>
      <w:snapToGrid w:val="0"/>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autoRedefine/>
    <w:unhideWhenUsed/>
    <w:qFormat/>
    <w:uiPriority w:val="39"/>
  </w:style>
  <w:style w:type="paragraph" w:styleId="21">
    <w:name w:val="Subtitle"/>
    <w:basedOn w:val="1"/>
    <w:autoRedefine/>
    <w:qFormat/>
    <w:uiPriority w:val="0"/>
    <w:pPr>
      <w:spacing w:before="240" w:after="60" w:line="312" w:lineRule="auto"/>
      <w:jc w:val="center"/>
      <w:outlineLvl w:val="1"/>
    </w:pPr>
    <w:rPr>
      <w:rFonts w:ascii="Arial" w:hAnsi="Arial" w:cs="Arial"/>
      <w:b/>
      <w:bCs/>
      <w:kern w:val="28"/>
      <w:sz w:val="32"/>
      <w:szCs w:val="32"/>
    </w:rPr>
  </w:style>
  <w:style w:type="paragraph" w:styleId="22">
    <w:name w:val="Normal (Web)"/>
    <w:basedOn w:val="1"/>
    <w:autoRedefine/>
    <w:qFormat/>
    <w:uiPriority w:val="0"/>
    <w:pPr>
      <w:spacing w:beforeAutospacing="1" w:afterAutospacing="1"/>
    </w:pPr>
  </w:style>
  <w:style w:type="paragraph" w:styleId="23">
    <w:name w:val="annotation subject"/>
    <w:basedOn w:val="9"/>
    <w:next w:val="9"/>
    <w:link w:val="45"/>
    <w:autoRedefine/>
    <w:qFormat/>
    <w:uiPriority w:val="0"/>
    <w:pPr>
      <w:widowControl/>
    </w:pPr>
    <w:rPr>
      <w:b/>
      <w:bCs/>
      <w:kern w:val="0"/>
      <w:sz w:val="24"/>
      <w:szCs w:val="22"/>
    </w:rPr>
  </w:style>
  <w:style w:type="paragraph" w:styleId="24">
    <w:name w:val="Body Text First Indent"/>
    <w:basedOn w:val="10"/>
    <w:autoRedefine/>
    <w:qFormat/>
    <w:uiPriority w:val="0"/>
    <w:pPr>
      <w:snapToGrid/>
      <w:spacing w:after="120" w:line="240" w:lineRule="auto"/>
      <w:ind w:firstLine="420" w:firstLineChars="100"/>
    </w:pPr>
    <w:rPr>
      <w:rFonts w:eastAsia="楷体_GB2312"/>
      <w:sz w:val="28"/>
      <w:szCs w:val="28"/>
    </w:rPr>
  </w:style>
  <w:style w:type="paragraph" w:styleId="25">
    <w:name w:val="Body Text First Indent 2"/>
    <w:basedOn w:val="11"/>
    <w:next w:val="1"/>
    <w:autoRedefine/>
    <w:qFormat/>
    <w:uiPriority w:val="0"/>
    <w:pPr>
      <w:ind w:firstLine="420" w:firstLineChars="200"/>
    </w:pPr>
  </w:style>
  <w:style w:type="table" w:styleId="27">
    <w:name w:val="Table Grid"/>
    <w:basedOn w:val="2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bCs/>
    </w:rPr>
  </w:style>
  <w:style w:type="character" w:styleId="30">
    <w:name w:val="page number"/>
    <w:autoRedefine/>
    <w:qFormat/>
    <w:uiPriority w:val="0"/>
  </w:style>
  <w:style w:type="character" w:styleId="31">
    <w:name w:val="FollowedHyperlink"/>
    <w:autoRedefine/>
    <w:qFormat/>
    <w:uiPriority w:val="0"/>
    <w:rPr>
      <w:color w:val="800080"/>
      <w:u w:val="none"/>
    </w:rPr>
  </w:style>
  <w:style w:type="character" w:styleId="32">
    <w:name w:val="HTML Definition"/>
    <w:autoRedefine/>
    <w:qFormat/>
    <w:uiPriority w:val="0"/>
  </w:style>
  <w:style w:type="character" w:styleId="33">
    <w:name w:val="HTML Typewriter"/>
    <w:autoRedefine/>
    <w:qFormat/>
    <w:uiPriority w:val="0"/>
    <w:rPr>
      <w:rFonts w:hint="default" w:ascii="monospace" w:hAnsi="monospace" w:eastAsia="monospace" w:cs="monospace"/>
      <w:sz w:val="20"/>
    </w:rPr>
  </w:style>
  <w:style w:type="character" w:styleId="34">
    <w:name w:val="HTML Acronym"/>
    <w:autoRedefine/>
    <w:qFormat/>
    <w:uiPriority w:val="0"/>
  </w:style>
  <w:style w:type="character" w:styleId="35">
    <w:name w:val="HTML Variable"/>
    <w:autoRedefine/>
    <w:qFormat/>
    <w:uiPriority w:val="0"/>
  </w:style>
  <w:style w:type="character" w:styleId="36">
    <w:name w:val="Hyperlink"/>
    <w:autoRedefine/>
    <w:qFormat/>
    <w:uiPriority w:val="0"/>
    <w:rPr>
      <w:color w:val="000000"/>
      <w:u w:val="none"/>
    </w:rPr>
  </w:style>
  <w:style w:type="character" w:styleId="37">
    <w:name w:val="HTML Code"/>
    <w:autoRedefine/>
    <w:qFormat/>
    <w:uiPriority w:val="0"/>
    <w:rPr>
      <w:rFonts w:ascii="monospace" w:hAnsi="monospace" w:eastAsia="monospace" w:cs="monospace"/>
      <w:sz w:val="20"/>
    </w:rPr>
  </w:style>
  <w:style w:type="character" w:styleId="38">
    <w:name w:val="annotation reference"/>
    <w:autoRedefine/>
    <w:qFormat/>
    <w:uiPriority w:val="0"/>
    <w:rPr>
      <w:sz w:val="21"/>
      <w:szCs w:val="21"/>
    </w:rPr>
  </w:style>
  <w:style w:type="character" w:styleId="39">
    <w:name w:val="HTML Cite"/>
    <w:autoRedefine/>
    <w:qFormat/>
    <w:uiPriority w:val="0"/>
  </w:style>
  <w:style w:type="character" w:styleId="40">
    <w:name w:val="HTML Keyboard"/>
    <w:autoRedefine/>
    <w:qFormat/>
    <w:uiPriority w:val="0"/>
    <w:rPr>
      <w:rFonts w:hint="default" w:ascii="monospace" w:hAnsi="monospace" w:eastAsia="monospace" w:cs="monospace"/>
      <w:sz w:val="20"/>
    </w:rPr>
  </w:style>
  <w:style w:type="character" w:styleId="41">
    <w:name w:val="HTML Sample"/>
    <w:autoRedefine/>
    <w:qFormat/>
    <w:uiPriority w:val="0"/>
    <w:rPr>
      <w:rFonts w:hint="default" w:ascii="monospace" w:hAnsi="monospace" w:eastAsia="monospace" w:cs="monospace"/>
    </w:rPr>
  </w:style>
  <w:style w:type="character" w:customStyle="1" w:styleId="42">
    <w:name w:val="文档结构图 字符"/>
    <w:link w:val="8"/>
    <w:autoRedefine/>
    <w:qFormat/>
    <w:uiPriority w:val="0"/>
    <w:rPr>
      <w:rFonts w:ascii="宋体" w:hAnsi="Calibri" w:cs="黑体"/>
      <w:sz w:val="18"/>
      <w:szCs w:val="18"/>
    </w:rPr>
  </w:style>
  <w:style w:type="character" w:customStyle="1" w:styleId="43">
    <w:name w:val="批注文字 字符"/>
    <w:link w:val="9"/>
    <w:autoRedefine/>
    <w:qFormat/>
    <w:uiPriority w:val="0"/>
    <w:rPr>
      <w:rFonts w:ascii="Calibri" w:hAnsi="Calibri" w:cs="黑体"/>
      <w:kern w:val="2"/>
      <w:sz w:val="21"/>
      <w:szCs w:val="21"/>
    </w:rPr>
  </w:style>
  <w:style w:type="character" w:customStyle="1" w:styleId="44">
    <w:name w:val="纯文本 字符"/>
    <w:link w:val="14"/>
    <w:autoRedefine/>
    <w:qFormat/>
    <w:uiPriority w:val="0"/>
    <w:rPr>
      <w:rFonts w:ascii="宋体" w:hAnsi="Courier New" w:eastAsia="楷体_GB2312" w:cs="黑体"/>
      <w:sz w:val="26"/>
      <w:szCs w:val="22"/>
    </w:rPr>
  </w:style>
  <w:style w:type="character" w:customStyle="1" w:styleId="45">
    <w:name w:val="批注主题 字符"/>
    <w:link w:val="23"/>
    <w:autoRedefine/>
    <w:qFormat/>
    <w:uiPriority w:val="0"/>
  </w:style>
  <w:style w:type="character" w:customStyle="1" w:styleId="46">
    <w:name w:val="font61"/>
    <w:autoRedefine/>
    <w:qFormat/>
    <w:uiPriority w:val="0"/>
    <w:rPr>
      <w:rFonts w:hint="eastAsia" w:ascii="宋体" w:hAnsi="宋体" w:eastAsia="宋体" w:cs="宋体"/>
      <w:color w:val="FFFFFF"/>
      <w:sz w:val="24"/>
      <w:szCs w:val="24"/>
      <w:u w:val="none"/>
    </w:rPr>
  </w:style>
  <w:style w:type="character" w:customStyle="1" w:styleId="47">
    <w:name w:val="font81"/>
    <w:qFormat/>
    <w:uiPriority w:val="0"/>
    <w:rPr>
      <w:rFonts w:hint="eastAsia" w:ascii="宋体" w:hAnsi="宋体" w:eastAsia="宋体" w:cs="宋体"/>
      <w:color w:val="000000"/>
      <w:sz w:val="20"/>
      <w:szCs w:val="20"/>
      <w:u w:val="none"/>
    </w:rPr>
  </w:style>
  <w:style w:type="character" w:customStyle="1" w:styleId="48">
    <w:name w:val="font51"/>
    <w:autoRedefine/>
    <w:qFormat/>
    <w:uiPriority w:val="0"/>
    <w:rPr>
      <w:rFonts w:hint="eastAsia" w:ascii="宋体" w:hAnsi="宋体" w:eastAsia="宋体" w:cs="宋体"/>
      <w:b/>
      <w:color w:val="FFFFFF"/>
      <w:sz w:val="24"/>
      <w:szCs w:val="24"/>
      <w:u w:val="none"/>
    </w:rPr>
  </w:style>
  <w:style w:type="character" w:customStyle="1" w:styleId="49">
    <w:name w:val="font11"/>
    <w:autoRedefine/>
    <w:qFormat/>
    <w:uiPriority w:val="0"/>
    <w:rPr>
      <w:rFonts w:hint="eastAsia" w:ascii="宋体" w:hAnsi="宋体" w:eastAsia="宋体" w:cs="宋体"/>
      <w:b/>
      <w:color w:val="000000"/>
      <w:sz w:val="20"/>
      <w:szCs w:val="20"/>
      <w:u w:val="none"/>
    </w:rPr>
  </w:style>
  <w:style w:type="character" w:customStyle="1" w:styleId="50">
    <w:name w:val="wyg1"/>
    <w:autoRedefine/>
    <w:qFormat/>
    <w:uiPriority w:val="6"/>
    <w:rPr>
      <w:color w:val="000000"/>
      <w:sz w:val="20"/>
      <w:szCs w:val="20"/>
      <w:u w:val="none"/>
    </w:rPr>
  </w:style>
  <w:style w:type="character" w:customStyle="1" w:styleId="51">
    <w:name w:val="font71"/>
    <w:autoRedefine/>
    <w:qFormat/>
    <w:uiPriority w:val="0"/>
    <w:rPr>
      <w:rFonts w:hint="eastAsia" w:ascii="宋体" w:hAnsi="宋体" w:eastAsia="宋体" w:cs="宋体"/>
      <w:b/>
      <w:color w:val="FFFFFF"/>
      <w:sz w:val="24"/>
      <w:szCs w:val="24"/>
      <w:u w:val="none"/>
    </w:rPr>
  </w:style>
  <w:style w:type="character" w:customStyle="1" w:styleId="52">
    <w:name w:val="font21"/>
    <w:autoRedefine/>
    <w:qFormat/>
    <w:uiPriority w:val="0"/>
    <w:rPr>
      <w:rFonts w:hint="eastAsia" w:ascii="宋体" w:hAnsi="宋体" w:eastAsia="宋体" w:cs="宋体"/>
      <w:b/>
      <w:color w:val="000000"/>
      <w:sz w:val="20"/>
      <w:szCs w:val="20"/>
      <w:u w:val="none"/>
    </w:rPr>
  </w:style>
  <w:style w:type="character" w:customStyle="1" w:styleId="53">
    <w:name w:val="font01"/>
    <w:autoRedefine/>
    <w:qFormat/>
    <w:uiPriority w:val="0"/>
    <w:rPr>
      <w:rFonts w:hint="eastAsia" w:ascii="宋体" w:hAnsi="宋体" w:eastAsia="宋体" w:cs="宋体"/>
      <w:color w:val="000000"/>
      <w:sz w:val="24"/>
      <w:szCs w:val="24"/>
      <w:u w:val="none"/>
    </w:rPr>
  </w:style>
  <w:style w:type="paragraph" w:customStyle="1" w:styleId="54">
    <w:name w:val="正文缩进2字符"/>
    <w:basedOn w:val="1"/>
    <w:autoRedefine/>
    <w:qFormat/>
    <w:uiPriority w:val="0"/>
    <w:pPr>
      <w:spacing w:line="360" w:lineRule="auto"/>
      <w:ind w:firstLine="200" w:firstLineChars="200"/>
    </w:pPr>
    <w:rPr>
      <w:szCs w:val="20"/>
    </w:rPr>
  </w:style>
  <w:style w:type="paragraph" w:customStyle="1" w:styleId="55">
    <w:name w:val="纯文本1"/>
    <w:basedOn w:val="1"/>
    <w:autoRedefine/>
    <w:qFormat/>
    <w:uiPriority w:val="0"/>
    <w:pPr>
      <w:adjustRightInd w:val="0"/>
      <w:textAlignment w:val="baseline"/>
    </w:pPr>
    <w:rPr>
      <w:rFonts w:ascii="宋体" w:hAnsi="Courier New" w:eastAsia="楷体_GB2312"/>
      <w:sz w:val="26"/>
    </w:rPr>
  </w:style>
  <w:style w:type="paragraph" w:customStyle="1" w:styleId="56">
    <w:name w:val="列出段落1"/>
    <w:basedOn w:val="1"/>
    <w:autoRedefine/>
    <w:qFormat/>
    <w:uiPriority w:val="0"/>
    <w:pPr>
      <w:ind w:firstLine="420" w:firstLineChars="200"/>
    </w:pPr>
    <w:rPr>
      <w:szCs w:val="20"/>
    </w:rPr>
  </w:style>
  <w:style w:type="paragraph" w:customStyle="1" w:styleId="57">
    <w:name w:val="节"/>
    <w:basedOn w:val="4"/>
    <w:autoRedefine/>
    <w:qFormat/>
    <w:uiPriority w:val="0"/>
    <w:pPr>
      <w:numPr>
        <w:ilvl w:val="1"/>
        <w:numId w:val="1"/>
      </w:numPr>
      <w:tabs>
        <w:tab w:val="left" w:pos="432"/>
        <w:tab w:val="clear" w:pos="576"/>
      </w:tabs>
      <w:adjustRightInd/>
      <w:spacing w:before="260" w:after="260"/>
      <w:jc w:val="both"/>
      <w:textAlignment w:val="auto"/>
    </w:pPr>
    <w:rPr>
      <w:rFonts w:ascii="黑体" w:hAnsi="Arial" w:eastAsia="黑体"/>
      <w:b w:val="0"/>
      <w:bCs/>
      <w:sz w:val="28"/>
      <w:szCs w:val="28"/>
    </w:rPr>
  </w:style>
  <w:style w:type="paragraph" w:customStyle="1" w:styleId="58">
    <w:name w:val="+正文"/>
    <w:basedOn w:val="1"/>
    <w:autoRedefine/>
    <w:qFormat/>
    <w:uiPriority w:val="0"/>
    <w:pPr>
      <w:spacing w:line="360" w:lineRule="auto"/>
      <w:ind w:firstLine="200" w:firstLineChars="200"/>
    </w:pPr>
  </w:style>
  <w:style w:type="paragraph" w:customStyle="1" w:styleId="59">
    <w:name w:val="正文文本1"/>
    <w:autoRedefine/>
    <w:qFormat/>
    <w:uiPriority w:val="0"/>
    <w:pPr>
      <w:widowControl w:val="0"/>
      <w:jc w:val="center"/>
    </w:pPr>
    <w:rPr>
      <w:rFonts w:hint="eastAsia" w:ascii="Arial Unicode MS" w:hAnsi="Arial Unicode MS" w:eastAsia="Times New Roman" w:cs="Arial Unicode MS"/>
      <w:b/>
      <w:bCs/>
      <w:color w:val="000000"/>
      <w:kern w:val="2"/>
      <w:sz w:val="28"/>
      <w:szCs w:val="28"/>
      <w:lang w:val="en-US" w:eastAsia="zh-CN" w:bidi="ar-SA"/>
    </w:rPr>
  </w:style>
  <w:style w:type="paragraph" w:customStyle="1" w:styleId="60">
    <w:name w:val="标题2"/>
    <w:basedOn w:val="21"/>
    <w:autoRedefine/>
    <w:qFormat/>
    <w:uiPriority w:val="0"/>
    <w:pPr>
      <w:widowControl w:val="0"/>
      <w:jc w:val="left"/>
    </w:pPr>
    <w:rPr>
      <w:rFonts w:ascii="Cambria" w:hAnsi="Cambria" w:cs="Times New Roman"/>
    </w:rPr>
  </w:style>
  <w:style w:type="paragraph" w:customStyle="1" w:styleId="61">
    <w:name w:val="正文 A"/>
    <w:autoRedefine/>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62">
    <w:name w:val="Plain Text1"/>
    <w:basedOn w:val="1"/>
    <w:autoRedefine/>
    <w:qFormat/>
    <w:uiPriority w:val="99"/>
    <w:pPr>
      <w:adjustRightInd w:val="0"/>
      <w:textAlignment w:val="baseline"/>
    </w:pPr>
    <w:rPr>
      <w:rFonts w:ascii="宋体" w:hAnsi="Courier New" w:eastAsia="楷体_GB2312"/>
      <w:sz w:val="26"/>
    </w:rPr>
  </w:style>
  <w:style w:type="paragraph" w:customStyle="1" w:styleId="63">
    <w:name w:val="Table Paragraph"/>
    <w:basedOn w:val="1"/>
    <w:autoRedefine/>
    <w:qFormat/>
    <w:uiPriority w:val="99"/>
  </w:style>
  <w:style w:type="character" w:customStyle="1" w:styleId="64">
    <w:name w:val="hover"/>
    <w:qFormat/>
    <w:uiPriority w:val="0"/>
    <w:rPr>
      <w:color w:val="5FB878"/>
    </w:rPr>
  </w:style>
  <w:style w:type="character" w:customStyle="1" w:styleId="65">
    <w:name w:val="hover1"/>
    <w:autoRedefine/>
    <w:qFormat/>
    <w:uiPriority w:val="0"/>
    <w:rPr>
      <w:color w:val="5FB878"/>
    </w:rPr>
  </w:style>
  <w:style w:type="character" w:customStyle="1" w:styleId="66">
    <w:name w:val="hover2"/>
    <w:autoRedefine/>
    <w:qFormat/>
    <w:uiPriority w:val="0"/>
    <w:rPr>
      <w:color w:val="FFFFFF"/>
    </w:rPr>
  </w:style>
  <w:style w:type="table" w:customStyle="1" w:styleId="67">
    <w:name w:val="Table Normal"/>
    <w:autoRedefine/>
    <w:qFormat/>
    <w:uiPriority w:val="0"/>
    <w:tblPr>
      <w:tblCellMar>
        <w:top w:w="0" w:type="dxa"/>
        <w:left w:w="0" w:type="dxa"/>
        <w:bottom w:w="0" w:type="dxa"/>
        <w:right w:w="0" w:type="dxa"/>
      </w:tblCellMar>
    </w:tblPr>
  </w:style>
  <w:style w:type="paragraph" w:styleId="68">
    <w:name w:val="List Paragraph"/>
    <w:basedOn w:val="1"/>
    <w:autoRedefine/>
    <w:qFormat/>
    <w:uiPriority w:val="34"/>
    <w:pPr>
      <w:widowControl w:val="0"/>
      <w:ind w:firstLine="420" w:firstLineChars="200"/>
      <w:jc w:val="both"/>
    </w:pPr>
    <w:rPr>
      <w:rFonts w:ascii="Times New Roman" w:hAnsi="Times New Roman" w:cs="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FD8DFE-3320-43D6-8D45-8E7451974922}">
  <ds:schemaRefs/>
</ds:datastoreItem>
</file>

<file path=docProps/app.xml><?xml version="1.0" encoding="utf-8"?>
<Properties xmlns="http://schemas.openxmlformats.org/officeDocument/2006/extended-properties" xmlns:vt="http://schemas.openxmlformats.org/officeDocument/2006/docPropsVTypes">
  <Template>Normal</Template>
  <Pages>11</Pages>
  <Words>7651</Words>
  <Characters>7761</Characters>
  <Lines>185</Lines>
  <Paragraphs>52</Paragraphs>
  <TotalTime>0</TotalTime>
  <ScaleCrop>false</ScaleCrop>
  <LinksUpToDate>false</LinksUpToDate>
  <CharactersWithSpaces>7811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2022-11-15T08:27:00Z</dcterms:created>
  <dc:creator>小夕</dc:creator>
  <cp:lastModifiedBy>心随你动</cp:lastModifiedBy>
  <cp:lastPrinted>2021-12-06T01:11:00Z</cp:lastPrinted>
  <dcterms:modified xsi:type="dcterms:W3CDTF">2024-06-06T07:09:14Z</dcterms:modified>
  <dc:title>资源与地球科学学院安全供气系统修缮项目</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C80CBEA83C514C60872F8C47B2BE1808_13</vt:lpwstr>
  </property>
</Properties>
</file>