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 w:lineRule="atLeast"/>
        <w:jc w:val="center"/>
        <w:outlineLvl w:val="3"/>
        <w:rPr>
          <w:color w:val="auto"/>
          <w:highlight w:val="none"/>
        </w:rPr>
      </w:pPr>
      <w:bookmarkStart w:id="1" w:name="_GoBack"/>
      <w:bookmarkEnd w:id="1"/>
      <w:r>
        <w:rPr>
          <w:rFonts w:hint="eastAsia" w:ascii="宋体" w:hAnsi="宋体" w:cs="宋体"/>
          <w:b/>
          <w:bCs/>
          <w:color w:val="auto"/>
          <w:sz w:val="36"/>
          <w:highlight w:val="none"/>
        </w:rPr>
        <w:t>采购需求</w:t>
      </w:r>
    </w:p>
    <w:p>
      <w:pPr>
        <w:shd w:val="clear" w:color="auto" w:fill="FFFFFF"/>
        <w:spacing w:line="320" w:lineRule="exact"/>
        <w:ind w:firstLine="482" w:firstLineChars="200"/>
        <w:rPr>
          <w:rFonts w:ascii="黑体" w:hAnsi="黑体" w:eastAsia="黑体" w:cs="Arial"/>
          <w:b/>
          <w:color w:val="auto"/>
          <w:highlight w:val="none"/>
        </w:rPr>
      </w:pPr>
      <w:r>
        <w:rPr>
          <w:rFonts w:hint="eastAsia" w:ascii="黑体" w:hAnsi="黑体" w:eastAsia="黑体" w:cs="Arial"/>
          <w:b/>
          <w:color w:val="auto"/>
          <w:highlight w:val="none"/>
        </w:rPr>
        <w:t>一、项目概况</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根据国务院办公厅发布的首个供应链政策（国务院办公厅关于积极推进供应链创新与应用的指导意见－国办发〔2017〕84号）文件中的第四项保障措施中的第五点明确指出：“加快培养多层次供应链人才。支持高等院校和职业学校设置供应链相关专业和课程，培养供应链专业人才。鼓励相关企业和专业机构加强供应链人才培训。创新供应链人才激励机制，加强国际化的人才流动与管理，吸引和聚集世界优秀供应链人才。”</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在“一带一路”新时期战略思想的指导下，随着产业转型升级和生产性服务业的快速发展，企业对员工技能培训提出更高的要求。如何在“一带一路”新时期战略思想的指导下，跟紧产业发展的步伐，适应新时期的产业发展；如何在当今“信息化”时代结合大数据分析管理体系，培养适合企业发展的专业性人才将是学校教学的首要目标。</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高职专业计算机网络综合及综合布线实训室新增设备是高校技能类专业一门重要的专业核心课程，该课程学习形成的管理基本理念也是学生未来职业生涯中不可或缺的管理思维，也为未来从事相关岗位工作的学生培养团队合作精神、抗压精神和沟通能力等职业素养。</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原有的技能培训教学基本上以理论加案例的学习形式为主，无论教材还是课程资源都已经不能适应企业对供应链相关岗位技能要求。如何在教学过程中实现理实结合进行教学，如何实现教学做一体化教学模式是当前教学改革的重点工作；因此，技能手操相关课程教学急需一套适应新时期企业相应岗位的实训系统。传统的技能教学中，基本上以教师的为主，学生主动学习积极性不高，若能辅以一些使用真实企业案例为背景的实战模拟系统以及以工作任务为驱动的项目式实训系统，学生学习的主动性便会大幅提高。</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预计高职专业计算机网络综合及综合布线实训室新增设备投入使用以后，既能满足专业建设需要，也能满足实践教学需要，使学习内容与岗位要求直接对接，提升这些课程教学质量，提高学生主动学习的兴趣。有助于提高学生对高职专业计算机网络综合及综合布线实训的实际操作能力和检修能力。在这个过程中让学生运用电气相关知识，充分运用所学的知识高效执行相关操作。通过平台的使用能从理论、技能层面综合培养学生的各方面能力。</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从贴近教学入手，实现技能相关知识的学习和沉淀，提升学生技能的实战能力和综合运营素质，从知识、技能、素质三个层面实现以下教学目标：</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(一)</w:t>
      </w:r>
      <w:r>
        <w:rPr>
          <w:rFonts w:hint="eastAsia" w:ascii="宋体" w:hAnsi="宋体" w:cs="宋体"/>
          <w:color w:val="auto"/>
          <w:szCs w:val="21"/>
          <w:highlight w:val="none"/>
        </w:rPr>
        <w:tab/>
      </w:r>
      <w:r>
        <w:rPr>
          <w:rFonts w:hint="eastAsia" w:ascii="宋体" w:hAnsi="宋体" w:cs="宋体"/>
          <w:color w:val="auto"/>
          <w:szCs w:val="21"/>
          <w:highlight w:val="none"/>
        </w:rPr>
        <w:t>知识层面</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能熟练掌握高职专业计算机网络综合及综合布线实训，提高教学质量，配合省学测考试和职教高考技能考试的需求需求。</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(二)</w:t>
      </w:r>
      <w:r>
        <w:rPr>
          <w:rFonts w:hint="eastAsia" w:ascii="宋体" w:hAnsi="宋体" w:cs="宋体"/>
          <w:color w:val="auto"/>
          <w:szCs w:val="21"/>
          <w:highlight w:val="none"/>
        </w:rPr>
        <w:tab/>
      </w:r>
      <w:r>
        <w:rPr>
          <w:rFonts w:hint="eastAsia" w:ascii="宋体" w:hAnsi="宋体" w:cs="宋体"/>
          <w:color w:val="auto"/>
          <w:szCs w:val="21"/>
          <w:highlight w:val="none"/>
        </w:rPr>
        <w:t>技能层面</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在一定程度上提高了学生的实践动手能力和创新能力，提供综合调试、综合布线、安装调试的实战能力。</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(三)</w:t>
      </w:r>
      <w:r>
        <w:rPr>
          <w:rFonts w:hint="eastAsia" w:ascii="宋体" w:hAnsi="宋体" w:cs="宋体"/>
          <w:color w:val="auto"/>
          <w:szCs w:val="21"/>
          <w:highlight w:val="none"/>
        </w:rPr>
        <w:tab/>
      </w:r>
      <w:r>
        <w:rPr>
          <w:rFonts w:hint="eastAsia" w:ascii="宋体" w:hAnsi="宋体" w:cs="宋体"/>
          <w:color w:val="auto"/>
          <w:szCs w:val="21"/>
          <w:highlight w:val="none"/>
        </w:rPr>
        <w:t>素质层面</w:t>
      </w:r>
    </w:p>
    <w:p>
      <w:pPr>
        <w:spacing w:line="360" w:lineRule="auto"/>
        <w:ind w:firstLine="480" w:firstLineChars="200"/>
        <w:rPr>
          <w:rFonts w:ascii="宋体" w:hAnsi="宋体" w:cs="宋体"/>
          <w:b/>
          <w:color w:val="auto"/>
          <w:szCs w:val="21"/>
          <w:highlight w:val="none"/>
        </w:rPr>
      </w:pPr>
      <w:r>
        <w:rPr>
          <w:rFonts w:hint="eastAsia" w:ascii="宋体" w:hAnsi="宋体" w:cs="宋体"/>
          <w:color w:val="auto"/>
          <w:szCs w:val="21"/>
          <w:highlight w:val="none"/>
        </w:rPr>
        <w:t>能培养学生严谨周密的思维方式、系统化的思维能力、整体运行的全局观、分析和规划设计的能力。</w:t>
      </w:r>
    </w:p>
    <w:p>
      <w:pPr>
        <w:shd w:val="clear" w:color="auto" w:fill="FFFFFF"/>
        <w:spacing w:line="320" w:lineRule="exact"/>
        <w:ind w:firstLine="482" w:firstLineChars="200"/>
        <w:rPr>
          <w:rFonts w:ascii="黑体" w:hAnsi="黑体" w:eastAsia="黑体" w:cs="Arial"/>
          <w:b/>
          <w:color w:val="auto"/>
          <w:highlight w:val="none"/>
        </w:rPr>
      </w:pPr>
      <w:r>
        <w:rPr>
          <w:rFonts w:hint="eastAsia" w:ascii="黑体" w:hAnsi="黑体" w:eastAsia="黑体" w:cs="Arial"/>
          <w:b/>
          <w:color w:val="auto"/>
          <w:highlight w:val="none"/>
        </w:rPr>
        <w:t>二、主要标的</w:t>
      </w:r>
    </w:p>
    <w:p>
      <w:pPr>
        <w:spacing w:after="166" w:afterLines="50" w:line="320" w:lineRule="exact"/>
        <w:ind w:firstLine="480" w:firstLineChars="200"/>
        <w:rPr>
          <w:rFonts w:ascii="宋体" w:hAnsi="宋体" w:cs="宋体"/>
          <w:color w:val="auto"/>
          <w:szCs w:val="21"/>
          <w:highlight w:val="none"/>
        </w:rPr>
      </w:pPr>
      <w:r>
        <w:rPr>
          <w:rFonts w:hint="eastAsia" w:ascii="宋体" w:hAnsi="宋体" w:cs="宋体"/>
          <w:color w:val="auto"/>
          <w:szCs w:val="21"/>
          <w:highlight w:val="none"/>
        </w:rPr>
        <w:t>1.货物：</w:t>
      </w:r>
    </w:p>
    <w:tbl>
      <w:tblPr>
        <w:tblStyle w:val="25"/>
        <w:tblW w:w="7731"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851"/>
        <w:gridCol w:w="2977"/>
        <w:gridCol w:w="850"/>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shd w:val="clear" w:color="auto" w:fill="BFBFB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851" w:type="dxa"/>
            <w:shd w:val="clear" w:color="auto" w:fill="BFBFB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2977" w:type="dxa"/>
            <w:shd w:val="clear" w:color="auto" w:fill="BFBFB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规格</w:t>
            </w:r>
          </w:p>
        </w:tc>
        <w:tc>
          <w:tcPr>
            <w:tcW w:w="850" w:type="dxa"/>
            <w:shd w:val="clear" w:color="auto" w:fill="BFBFB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368" w:type="dxa"/>
            <w:shd w:val="clear" w:color="auto" w:fill="BFBFB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是否核心产品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vAlign w:val="center"/>
          </w:tcPr>
          <w:p>
            <w:pPr>
              <w:jc w:val="center"/>
              <w:rPr>
                <w:rFonts w:ascii="宋体" w:hAnsi="宋体" w:cs="宋体"/>
                <w:color w:val="auto"/>
                <w:sz w:val="22"/>
                <w:highlight w:val="none"/>
              </w:rPr>
            </w:pPr>
            <w:r>
              <w:rPr>
                <w:rFonts w:hint="eastAsia"/>
                <w:color w:val="auto"/>
                <w:sz w:val="22"/>
                <w:highlight w:val="none"/>
              </w:rPr>
              <w:t>二层交换机</w:t>
            </w:r>
          </w:p>
        </w:tc>
        <w:tc>
          <w:tcPr>
            <w:tcW w:w="851" w:type="dxa"/>
            <w:vAlign w:val="center"/>
          </w:tcPr>
          <w:p>
            <w:pPr>
              <w:jc w:val="center"/>
              <w:rPr>
                <w:rFonts w:ascii="宋体" w:hAnsi="宋体" w:cs="宋体"/>
                <w:color w:val="auto"/>
                <w:szCs w:val="24"/>
                <w:highlight w:val="none"/>
              </w:rPr>
            </w:pPr>
            <w:r>
              <w:rPr>
                <w:rFonts w:hint="eastAsia"/>
                <w:color w:val="auto"/>
                <w:highlight w:val="none"/>
              </w:rPr>
              <w:t>台</w:t>
            </w:r>
          </w:p>
        </w:tc>
        <w:tc>
          <w:tcPr>
            <w:tcW w:w="297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4光2</w:t>
            </w:r>
            <w:r>
              <w:rPr>
                <w:rFonts w:ascii="宋体" w:hAnsi="宋体" w:cs="宋体"/>
                <w:color w:val="auto"/>
                <w:szCs w:val="21"/>
                <w:highlight w:val="none"/>
              </w:rPr>
              <w:t>4</w:t>
            </w:r>
            <w:r>
              <w:rPr>
                <w:rFonts w:hint="eastAsia" w:ascii="宋体" w:hAnsi="宋体" w:cs="宋体"/>
                <w:color w:val="auto"/>
                <w:szCs w:val="21"/>
                <w:highlight w:val="none"/>
              </w:rPr>
              <w:t>电</w:t>
            </w:r>
          </w:p>
        </w:tc>
        <w:tc>
          <w:tcPr>
            <w:tcW w:w="850" w:type="dxa"/>
            <w:vAlign w:val="center"/>
          </w:tcPr>
          <w:p>
            <w:pPr>
              <w:jc w:val="center"/>
              <w:rPr>
                <w:rFonts w:ascii="宋体" w:hAnsi="宋体" w:cs="宋体"/>
                <w:color w:val="auto"/>
                <w:szCs w:val="24"/>
                <w:highlight w:val="none"/>
              </w:rPr>
            </w:pPr>
            <w:r>
              <w:rPr>
                <w:rFonts w:hint="eastAsia"/>
                <w:color w:val="auto"/>
                <w:highlight w:val="none"/>
              </w:rPr>
              <w:t>59</w:t>
            </w:r>
          </w:p>
        </w:tc>
        <w:tc>
          <w:tcPr>
            <w:tcW w:w="136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vAlign w:val="center"/>
          </w:tcPr>
          <w:p>
            <w:pPr>
              <w:jc w:val="center"/>
              <w:rPr>
                <w:rFonts w:hint="eastAsia"/>
                <w:color w:val="auto"/>
                <w:sz w:val="22"/>
                <w:highlight w:val="none"/>
              </w:rPr>
            </w:pPr>
            <w:r>
              <w:rPr>
                <w:rFonts w:hint="eastAsia"/>
                <w:color w:val="auto"/>
                <w:sz w:val="22"/>
                <w:highlight w:val="none"/>
              </w:rPr>
              <w:t>路由器</w:t>
            </w:r>
          </w:p>
        </w:tc>
        <w:tc>
          <w:tcPr>
            <w:tcW w:w="851" w:type="dxa"/>
            <w:vAlign w:val="center"/>
          </w:tcPr>
          <w:p>
            <w:pPr>
              <w:jc w:val="center"/>
              <w:rPr>
                <w:rFonts w:hint="eastAsia"/>
                <w:color w:val="auto"/>
                <w:highlight w:val="none"/>
              </w:rPr>
            </w:pPr>
            <w:r>
              <w:rPr>
                <w:rFonts w:hint="eastAsia"/>
                <w:color w:val="auto"/>
                <w:highlight w:val="none"/>
              </w:rPr>
              <w:t>台</w:t>
            </w:r>
          </w:p>
        </w:tc>
        <w:tc>
          <w:tcPr>
            <w:tcW w:w="297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双频千兆Wi-Fi5，接入1000M</w:t>
            </w:r>
          </w:p>
        </w:tc>
        <w:tc>
          <w:tcPr>
            <w:tcW w:w="850" w:type="dxa"/>
            <w:vAlign w:val="center"/>
          </w:tcPr>
          <w:p>
            <w:pPr>
              <w:jc w:val="center"/>
              <w:rPr>
                <w:rFonts w:hint="eastAsia"/>
                <w:color w:val="auto"/>
                <w:highlight w:val="none"/>
              </w:rPr>
            </w:pPr>
            <w:r>
              <w:rPr>
                <w:rFonts w:hint="eastAsia"/>
                <w:color w:val="auto"/>
                <w:highlight w:val="none"/>
              </w:rPr>
              <w:t>10</w:t>
            </w:r>
          </w:p>
        </w:tc>
        <w:tc>
          <w:tcPr>
            <w:tcW w:w="136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vAlign w:val="center"/>
          </w:tcPr>
          <w:p>
            <w:pPr>
              <w:jc w:val="center"/>
              <w:rPr>
                <w:rFonts w:hint="eastAsia"/>
                <w:color w:val="auto"/>
                <w:sz w:val="22"/>
                <w:highlight w:val="none"/>
              </w:rPr>
            </w:pPr>
            <w:r>
              <w:rPr>
                <w:rFonts w:hint="eastAsia"/>
                <w:color w:val="auto"/>
                <w:sz w:val="22"/>
                <w:highlight w:val="none"/>
              </w:rPr>
              <w:t>24口poe交换机</w:t>
            </w:r>
          </w:p>
        </w:tc>
        <w:tc>
          <w:tcPr>
            <w:tcW w:w="851" w:type="dxa"/>
            <w:vAlign w:val="center"/>
          </w:tcPr>
          <w:p>
            <w:pPr>
              <w:jc w:val="center"/>
              <w:rPr>
                <w:rFonts w:hint="eastAsia"/>
                <w:color w:val="auto"/>
                <w:highlight w:val="none"/>
              </w:rPr>
            </w:pPr>
            <w:r>
              <w:rPr>
                <w:rFonts w:hint="eastAsia"/>
                <w:color w:val="auto"/>
                <w:highlight w:val="none"/>
              </w:rPr>
              <w:t>台</w:t>
            </w:r>
          </w:p>
        </w:tc>
        <w:tc>
          <w:tcPr>
            <w:tcW w:w="297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4光2</w:t>
            </w:r>
            <w:r>
              <w:rPr>
                <w:rFonts w:ascii="宋体" w:hAnsi="宋体" w:cs="宋体"/>
                <w:color w:val="auto"/>
                <w:szCs w:val="21"/>
                <w:highlight w:val="none"/>
              </w:rPr>
              <w:t>4</w:t>
            </w:r>
            <w:r>
              <w:rPr>
                <w:rFonts w:hint="eastAsia" w:ascii="宋体" w:hAnsi="宋体" w:cs="宋体"/>
                <w:color w:val="auto"/>
                <w:szCs w:val="21"/>
                <w:highlight w:val="none"/>
              </w:rPr>
              <w:t>电</w:t>
            </w:r>
          </w:p>
        </w:tc>
        <w:tc>
          <w:tcPr>
            <w:tcW w:w="850" w:type="dxa"/>
            <w:vAlign w:val="center"/>
          </w:tcPr>
          <w:p>
            <w:pPr>
              <w:jc w:val="center"/>
              <w:rPr>
                <w:rFonts w:hint="eastAsia"/>
                <w:color w:val="auto"/>
                <w:highlight w:val="none"/>
              </w:rPr>
            </w:pPr>
            <w:r>
              <w:rPr>
                <w:rFonts w:hint="eastAsia"/>
                <w:color w:val="auto"/>
                <w:highlight w:val="none"/>
              </w:rPr>
              <w:t>1</w:t>
            </w:r>
          </w:p>
        </w:tc>
        <w:tc>
          <w:tcPr>
            <w:tcW w:w="136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vAlign w:val="center"/>
          </w:tcPr>
          <w:p>
            <w:pPr>
              <w:jc w:val="center"/>
              <w:rPr>
                <w:rFonts w:hint="eastAsia"/>
                <w:color w:val="auto"/>
                <w:sz w:val="22"/>
                <w:highlight w:val="none"/>
              </w:rPr>
            </w:pPr>
            <w:r>
              <w:rPr>
                <w:rFonts w:hint="eastAsia"/>
                <w:color w:val="auto"/>
                <w:sz w:val="22"/>
                <w:highlight w:val="none"/>
              </w:rPr>
              <w:t>无线路由器</w:t>
            </w:r>
          </w:p>
        </w:tc>
        <w:tc>
          <w:tcPr>
            <w:tcW w:w="851" w:type="dxa"/>
            <w:vAlign w:val="center"/>
          </w:tcPr>
          <w:p>
            <w:pPr>
              <w:jc w:val="center"/>
              <w:rPr>
                <w:rFonts w:hint="eastAsia"/>
                <w:color w:val="auto"/>
                <w:highlight w:val="none"/>
              </w:rPr>
            </w:pPr>
            <w:r>
              <w:rPr>
                <w:rFonts w:hint="eastAsia"/>
                <w:color w:val="auto"/>
                <w:highlight w:val="none"/>
              </w:rPr>
              <w:t>台</w:t>
            </w:r>
          </w:p>
        </w:tc>
        <w:tc>
          <w:tcPr>
            <w:tcW w:w="2977" w:type="dxa"/>
            <w:vAlign w:val="center"/>
          </w:tcPr>
          <w:p>
            <w:pPr>
              <w:jc w:val="center"/>
              <w:rPr>
                <w:rFonts w:ascii="宋体" w:hAnsi="宋体" w:cs="宋体"/>
                <w:color w:val="auto"/>
                <w:szCs w:val="21"/>
                <w:highlight w:val="none"/>
              </w:rPr>
            </w:pPr>
          </w:p>
        </w:tc>
        <w:tc>
          <w:tcPr>
            <w:tcW w:w="850" w:type="dxa"/>
            <w:vAlign w:val="center"/>
          </w:tcPr>
          <w:p>
            <w:pPr>
              <w:jc w:val="center"/>
              <w:rPr>
                <w:rFonts w:hint="eastAsia"/>
                <w:color w:val="auto"/>
                <w:highlight w:val="none"/>
              </w:rPr>
            </w:pPr>
            <w:r>
              <w:rPr>
                <w:rFonts w:hint="eastAsia"/>
                <w:color w:val="auto"/>
                <w:highlight w:val="none"/>
              </w:rPr>
              <w:t>20</w:t>
            </w:r>
          </w:p>
        </w:tc>
        <w:tc>
          <w:tcPr>
            <w:tcW w:w="1368"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vAlign w:val="center"/>
          </w:tcPr>
          <w:p>
            <w:pPr>
              <w:jc w:val="center"/>
              <w:rPr>
                <w:rFonts w:hint="eastAsia"/>
                <w:color w:val="auto"/>
                <w:sz w:val="22"/>
                <w:highlight w:val="none"/>
              </w:rPr>
            </w:pPr>
            <w:r>
              <w:rPr>
                <w:rFonts w:hint="eastAsia"/>
                <w:color w:val="auto"/>
                <w:sz w:val="22"/>
                <w:highlight w:val="none"/>
              </w:rPr>
              <w:t>管理控制器</w:t>
            </w:r>
          </w:p>
        </w:tc>
        <w:tc>
          <w:tcPr>
            <w:tcW w:w="851" w:type="dxa"/>
            <w:vAlign w:val="center"/>
          </w:tcPr>
          <w:p>
            <w:pPr>
              <w:jc w:val="center"/>
              <w:rPr>
                <w:rFonts w:hint="eastAsia"/>
                <w:color w:val="auto"/>
                <w:highlight w:val="none"/>
              </w:rPr>
            </w:pPr>
            <w:r>
              <w:rPr>
                <w:rFonts w:hint="eastAsia"/>
                <w:color w:val="auto"/>
                <w:highlight w:val="none"/>
              </w:rPr>
              <w:t>台</w:t>
            </w:r>
          </w:p>
        </w:tc>
        <w:tc>
          <w:tcPr>
            <w:tcW w:w="297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10个10/100/1000M电口，其中1个WAN口，9个LAN口</w:t>
            </w:r>
          </w:p>
        </w:tc>
        <w:tc>
          <w:tcPr>
            <w:tcW w:w="850" w:type="dxa"/>
            <w:vAlign w:val="center"/>
          </w:tcPr>
          <w:p>
            <w:pPr>
              <w:jc w:val="center"/>
              <w:rPr>
                <w:rFonts w:hint="eastAsia"/>
                <w:color w:val="auto"/>
                <w:highlight w:val="none"/>
              </w:rPr>
            </w:pPr>
            <w:r>
              <w:rPr>
                <w:rFonts w:hint="eastAsia"/>
                <w:color w:val="auto"/>
                <w:highlight w:val="none"/>
              </w:rPr>
              <w:t>1</w:t>
            </w:r>
          </w:p>
        </w:tc>
        <w:tc>
          <w:tcPr>
            <w:tcW w:w="1368"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vAlign w:val="center"/>
          </w:tcPr>
          <w:p>
            <w:pPr>
              <w:jc w:val="center"/>
              <w:rPr>
                <w:rFonts w:hint="eastAsia"/>
                <w:color w:val="auto"/>
                <w:sz w:val="22"/>
                <w:highlight w:val="none"/>
              </w:rPr>
            </w:pPr>
            <w:r>
              <w:rPr>
                <w:rFonts w:hint="eastAsia"/>
                <w:color w:val="auto"/>
                <w:sz w:val="22"/>
                <w:highlight w:val="none"/>
              </w:rPr>
              <w:t>无线网卡</w:t>
            </w:r>
          </w:p>
        </w:tc>
        <w:tc>
          <w:tcPr>
            <w:tcW w:w="851" w:type="dxa"/>
            <w:vAlign w:val="center"/>
          </w:tcPr>
          <w:p>
            <w:pPr>
              <w:jc w:val="center"/>
              <w:rPr>
                <w:rFonts w:hint="eastAsia"/>
                <w:color w:val="auto"/>
                <w:highlight w:val="none"/>
              </w:rPr>
            </w:pPr>
            <w:r>
              <w:rPr>
                <w:rFonts w:hint="eastAsia"/>
                <w:color w:val="auto"/>
                <w:highlight w:val="none"/>
              </w:rPr>
              <w:t>台</w:t>
            </w:r>
          </w:p>
        </w:tc>
        <w:tc>
          <w:tcPr>
            <w:tcW w:w="2977" w:type="dxa"/>
            <w:vAlign w:val="center"/>
          </w:tcPr>
          <w:p>
            <w:pPr>
              <w:jc w:val="center"/>
              <w:rPr>
                <w:rFonts w:ascii="宋体" w:hAnsi="宋体" w:cs="宋体"/>
                <w:color w:val="auto"/>
                <w:szCs w:val="21"/>
                <w:highlight w:val="none"/>
              </w:rPr>
            </w:pPr>
          </w:p>
        </w:tc>
        <w:tc>
          <w:tcPr>
            <w:tcW w:w="850" w:type="dxa"/>
            <w:vAlign w:val="center"/>
          </w:tcPr>
          <w:p>
            <w:pPr>
              <w:jc w:val="center"/>
              <w:rPr>
                <w:rFonts w:hint="eastAsia"/>
                <w:color w:val="auto"/>
                <w:highlight w:val="none"/>
              </w:rPr>
            </w:pPr>
            <w:r>
              <w:rPr>
                <w:rFonts w:hint="eastAsia"/>
                <w:color w:val="auto"/>
                <w:highlight w:val="none"/>
              </w:rPr>
              <w:t>20</w:t>
            </w:r>
          </w:p>
        </w:tc>
        <w:tc>
          <w:tcPr>
            <w:tcW w:w="1368"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vAlign w:val="center"/>
          </w:tcPr>
          <w:p>
            <w:pPr>
              <w:jc w:val="center"/>
              <w:rPr>
                <w:rFonts w:hint="eastAsia"/>
                <w:color w:val="auto"/>
                <w:sz w:val="22"/>
                <w:highlight w:val="none"/>
              </w:rPr>
            </w:pPr>
            <w:r>
              <w:rPr>
                <w:rFonts w:hint="eastAsia"/>
                <w:color w:val="auto"/>
                <w:sz w:val="22"/>
                <w:highlight w:val="none"/>
              </w:rPr>
              <w:t>网络测试仪</w:t>
            </w:r>
          </w:p>
        </w:tc>
        <w:tc>
          <w:tcPr>
            <w:tcW w:w="851" w:type="dxa"/>
            <w:vAlign w:val="center"/>
          </w:tcPr>
          <w:p>
            <w:pPr>
              <w:jc w:val="center"/>
              <w:rPr>
                <w:rFonts w:hint="eastAsia"/>
                <w:color w:val="auto"/>
                <w:highlight w:val="none"/>
              </w:rPr>
            </w:pPr>
            <w:r>
              <w:rPr>
                <w:rFonts w:hint="eastAsia"/>
                <w:color w:val="auto"/>
                <w:highlight w:val="none"/>
              </w:rPr>
              <w:t>台</w:t>
            </w:r>
          </w:p>
        </w:tc>
        <w:tc>
          <w:tcPr>
            <w:tcW w:w="2977" w:type="dxa"/>
            <w:vAlign w:val="center"/>
          </w:tcPr>
          <w:p>
            <w:pPr>
              <w:jc w:val="center"/>
              <w:rPr>
                <w:rFonts w:ascii="宋体" w:hAnsi="宋体" w:cs="宋体"/>
                <w:color w:val="auto"/>
                <w:szCs w:val="21"/>
                <w:highlight w:val="none"/>
              </w:rPr>
            </w:pPr>
          </w:p>
        </w:tc>
        <w:tc>
          <w:tcPr>
            <w:tcW w:w="850" w:type="dxa"/>
            <w:vAlign w:val="center"/>
          </w:tcPr>
          <w:p>
            <w:pPr>
              <w:jc w:val="center"/>
              <w:rPr>
                <w:rFonts w:hint="eastAsia"/>
                <w:color w:val="auto"/>
                <w:highlight w:val="none"/>
              </w:rPr>
            </w:pPr>
            <w:r>
              <w:rPr>
                <w:rFonts w:hint="eastAsia"/>
                <w:color w:val="auto"/>
                <w:highlight w:val="none"/>
              </w:rPr>
              <w:t>10</w:t>
            </w:r>
          </w:p>
        </w:tc>
        <w:tc>
          <w:tcPr>
            <w:tcW w:w="1368"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vAlign w:val="center"/>
          </w:tcPr>
          <w:p>
            <w:pPr>
              <w:jc w:val="center"/>
              <w:rPr>
                <w:rFonts w:hint="eastAsia"/>
                <w:color w:val="auto"/>
                <w:sz w:val="22"/>
                <w:highlight w:val="none"/>
              </w:rPr>
            </w:pPr>
            <w:r>
              <w:rPr>
                <w:rFonts w:hint="eastAsia"/>
                <w:color w:val="auto"/>
                <w:sz w:val="22"/>
                <w:highlight w:val="none"/>
              </w:rPr>
              <w:t>机柜37U</w:t>
            </w:r>
          </w:p>
        </w:tc>
        <w:tc>
          <w:tcPr>
            <w:tcW w:w="851" w:type="dxa"/>
            <w:vAlign w:val="center"/>
          </w:tcPr>
          <w:p>
            <w:pPr>
              <w:jc w:val="center"/>
              <w:rPr>
                <w:rFonts w:hint="eastAsia"/>
                <w:color w:val="auto"/>
                <w:highlight w:val="none"/>
              </w:rPr>
            </w:pPr>
            <w:r>
              <w:rPr>
                <w:rFonts w:hint="eastAsia"/>
                <w:color w:val="auto"/>
                <w:highlight w:val="none"/>
              </w:rPr>
              <w:t>台</w:t>
            </w:r>
          </w:p>
        </w:tc>
        <w:tc>
          <w:tcPr>
            <w:tcW w:w="297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7U</w:t>
            </w:r>
          </w:p>
        </w:tc>
        <w:tc>
          <w:tcPr>
            <w:tcW w:w="850" w:type="dxa"/>
            <w:vAlign w:val="center"/>
          </w:tcPr>
          <w:p>
            <w:pPr>
              <w:jc w:val="center"/>
              <w:rPr>
                <w:rFonts w:hint="eastAsia"/>
                <w:color w:val="auto"/>
                <w:highlight w:val="none"/>
              </w:rPr>
            </w:pPr>
            <w:r>
              <w:rPr>
                <w:rFonts w:hint="eastAsia"/>
                <w:color w:val="auto"/>
                <w:highlight w:val="none"/>
              </w:rPr>
              <w:t>4</w:t>
            </w:r>
          </w:p>
        </w:tc>
        <w:tc>
          <w:tcPr>
            <w:tcW w:w="1368"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vAlign w:val="center"/>
          </w:tcPr>
          <w:p>
            <w:pPr>
              <w:jc w:val="center"/>
              <w:rPr>
                <w:rFonts w:hint="eastAsia"/>
                <w:color w:val="auto"/>
                <w:sz w:val="22"/>
                <w:highlight w:val="none"/>
              </w:rPr>
            </w:pPr>
            <w:r>
              <w:rPr>
                <w:rFonts w:hint="eastAsia"/>
                <w:color w:val="auto"/>
                <w:sz w:val="22"/>
                <w:highlight w:val="none"/>
              </w:rPr>
              <w:t>配线架</w:t>
            </w:r>
          </w:p>
        </w:tc>
        <w:tc>
          <w:tcPr>
            <w:tcW w:w="851" w:type="dxa"/>
            <w:vAlign w:val="center"/>
          </w:tcPr>
          <w:p>
            <w:pPr>
              <w:jc w:val="center"/>
              <w:rPr>
                <w:rFonts w:hint="eastAsia"/>
                <w:color w:val="auto"/>
                <w:highlight w:val="none"/>
              </w:rPr>
            </w:pPr>
            <w:r>
              <w:rPr>
                <w:rFonts w:hint="eastAsia"/>
                <w:color w:val="auto"/>
                <w:highlight w:val="none"/>
              </w:rPr>
              <w:t>台</w:t>
            </w:r>
          </w:p>
        </w:tc>
        <w:tc>
          <w:tcPr>
            <w:tcW w:w="297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超6类网口</w:t>
            </w:r>
          </w:p>
        </w:tc>
        <w:tc>
          <w:tcPr>
            <w:tcW w:w="850" w:type="dxa"/>
            <w:vAlign w:val="center"/>
          </w:tcPr>
          <w:p>
            <w:pPr>
              <w:jc w:val="center"/>
              <w:rPr>
                <w:rFonts w:hint="eastAsia"/>
                <w:color w:val="auto"/>
                <w:highlight w:val="none"/>
              </w:rPr>
            </w:pPr>
            <w:r>
              <w:rPr>
                <w:rFonts w:hint="eastAsia"/>
                <w:color w:val="auto"/>
                <w:highlight w:val="none"/>
              </w:rPr>
              <w:t>20</w:t>
            </w:r>
          </w:p>
        </w:tc>
        <w:tc>
          <w:tcPr>
            <w:tcW w:w="1368"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vAlign w:val="center"/>
          </w:tcPr>
          <w:p>
            <w:pPr>
              <w:jc w:val="center"/>
              <w:rPr>
                <w:rFonts w:hint="eastAsia"/>
                <w:color w:val="auto"/>
                <w:sz w:val="22"/>
                <w:highlight w:val="none"/>
              </w:rPr>
            </w:pPr>
            <w:r>
              <w:rPr>
                <w:rFonts w:hint="eastAsia"/>
                <w:color w:val="auto"/>
                <w:sz w:val="22"/>
                <w:highlight w:val="none"/>
              </w:rPr>
              <w:t>三层交换机</w:t>
            </w:r>
          </w:p>
        </w:tc>
        <w:tc>
          <w:tcPr>
            <w:tcW w:w="851" w:type="dxa"/>
            <w:vAlign w:val="center"/>
          </w:tcPr>
          <w:p>
            <w:pPr>
              <w:jc w:val="center"/>
              <w:rPr>
                <w:rFonts w:hint="eastAsia"/>
                <w:color w:val="auto"/>
                <w:highlight w:val="none"/>
              </w:rPr>
            </w:pPr>
            <w:r>
              <w:rPr>
                <w:rFonts w:hint="eastAsia"/>
                <w:color w:val="auto"/>
                <w:highlight w:val="none"/>
              </w:rPr>
              <w:t>台</w:t>
            </w:r>
          </w:p>
        </w:tc>
        <w:tc>
          <w:tcPr>
            <w:tcW w:w="297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4光2</w:t>
            </w:r>
            <w:r>
              <w:rPr>
                <w:rFonts w:ascii="宋体" w:hAnsi="宋体" w:cs="宋体"/>
                <w:color w:val="auto"/>
                <w:szCs w:val="21"/>
                <w:highlight w:val="none"/>
              </w:rPr>
              <w:t>4</w:t>
            </w:r>
            <w:r>
              <w:rPr>
                <w:rFonts w:hint="eastAsia" w:ascii="宋体" w:hAnsi="宋体" w:cs="宋体"/>
                <w:color w:val="auto"/>
                <w:szCs w:val="21"/>
                <w:highlight w:val="none"/>
              </w:rPr>
              <w:t>电</w:t>
            </w:r>
          </w:p>
        </w:tc>
        <w:tc>
          <w:tcPr>
            <w:tcW w:w="850" w:type="dxa"/>
            <w:vAlign w:val="center"/>
          </w:tcPr>
          <w:p>
            <w:pPr>
              <w:jc w:val="center"/>
              <w:rPr>
                <w:rFonts w:hint="eastAsia"/>
                <w:color w:val="auto"/>
                <w:highlight w:val="none"/>
              </w:rPr>
            </w:pPr>
            <w:r>
              <w:rPr>
                <w:rFonts w:hint="eastAsia"/>
                <w:color w:val="auto"/>
                <w:highlight w:val="none"/>
              </w:rPr>
              <w:t>20</w:t>
            </w:r>
          </w:p>
        </w:tc>
        <w:tc>
          <w:tcPr>
            <w:tcW w:w="1368"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vAlign w:val="center"/>
          </w:tcPr>
          <w:p>
            <w:pPr>
              <w:jc w:val="center"/>
              <w:rPr>
                <w:rFonts w:hint="eastAsia"/>
                <w:color w:val="auto"/>
                <w:sz w:val="22"/>
                <w:highlight w:val="none"/>
              </w:rPr>
            </w:pPr>
            <w:r>
              <w:rPr>
                <w:rFonts w:hint="eastAsia"/>
                <w:color w:val="auto"/>
                <w:sz w:val="22"/>
                <w:highlight w:val="none"/>
              </w:rPr>
              <w:t>交换机</w:t>
            </w:r>
          </w:p>
        </w:tc>
        <w:tc>
          <w:tcPr>
            <w:tcW w:w="851" w:type="dxa"/>
            <w:vAlign w:val="center"/>
          </w:tcPr>
          <w:p>
            <w:pPr>
              <w:jc w:val="center"/>
              <w:rPr>
                <w:rFonts w:hint="eastAsia"/>
                <w:color w:val="auto"/>
                <w:highlight w:val="none"/>
              </w:rPr>
            </w:pPr>
            <w:r>
              <w:rPr>
                <w:rFonts w:hint="eastAsia"/>
                <w:color w:val="auto"/>
                <w:highlight w:val="none"/>
              </w:rPr>
              <w:t>台</w:t>
            </w:r>
          </w:p>
        </w:tc>
        <w:tc>
          <w:tcPr>
            <w:tcW w:w="297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4</w:t>
            </w:r>
            <w:r>
              <w:rPr>
                <w:rFonts w:hint="eastAsia" w:ascii="宋体" w:hAnsi="宋体" w:cs="宋体"/>
                <w:color w:val="auto"/>
                <w:szCs w:val="21"/>
                <w:highlight w:val="none"/>
              </w:rPr>
              <w:t>电</w:t>
            </w:r>
          </w:p>
        </w:tc>
        <w:tc>
          <w:tcPr>
            <w:tcW w:w="850" w:type="dxa"/>
            <w:vAlign w:val="center"/>
          </w:tcPr>
          <w:p>
            <w:pPr>
              <w:jc w:val="center"/>
              <w:rPr>
                <w:rFonts w:hint="eastAsia"/>
                <w:color w:val="auto"/>
                <w:highlight w:val="none"/>
              </w:rPr>
            </w:pPr>
            <w:r>
              <w:rPr>
                <w:rFonts w:hint="eastAsia"/>
                <w:color w:val="auto"/>
                <w:highlight w:val="none"/>
              </w:rPr>
              <w:t>20</w:t>
            </w:r>
          </w:p>
        </w:tc>
        <w:tc>
          <w:tcPr>
            <w:tcW w:w="1368"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vAlign w:val="center"/>
          </w:tcPr>
          <w:p>
            <w:pPr>
              <w:jc w:val="center"/>
              <w:rPr>
                <w:rFonts w:hint="eastAsia"/>
                <w:color w:val="auto"/>
                <w:sz w:val="22"/>
                <w:highlight w:val="none"/>
              </w:rPr>
            </w:pPr>
            <w:r>
              <w:rPr>
                <w:rFonts w:hint="eastAsia"/>
                <w:color w:val="auto"/>
                <w:sz w:val="22"/>
                <w:highlight w:val="none"/>
              </w:rPr>
              <w:t>铜缆工具箱</w:t>
            </w:r>
          </w:p>
        </w:tc>
        <w:tc>
          <w:tcPr>
            <w:tcW w:w="851" w:type="dxa"/>
            <w:vAlign w:val="center"/>
          </w:tcPr>
          <w:p>
            <w:pPr>
              <w:jc w:val="center"/>
              <w:rPr>
                <w:rFonts w:hint="eastAsia"/>
                <w:color w:val="auto"/>
                <w:sz w:val="18"/>
                <w:szCs w:val="18"/>
                <w:highlight w:val="none"/>
              </w:rPr>
            </w:pPr>
            <w:r>
              <w:rPr>
                <w:rFonts w:hint="eastAsia"/>
                <w:color w:val="auto"/>
                <w:sz w:val="18"/>
                <w:szCs w:val="18"/>
                <w:highlight w:val="none"/>
              </w:rPr>
              <w:t>套</w:t>
            </w:r>
          </w:p>
        </w:tc>
        <w:tc>
          <w:tcPr>
            <w:tcW w:w="297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弱电和电气工具箱</w:t>
            </w:r>
          </w:p>
        </w:tc>
        <w:tc>
          <w:tcPr>
            <w:tcW w:w="850" w:type="dxa"/>
            <w:vAlign w:val="center"/>
          </w:tcPr>
          <w:p>
            <w:pPr>
              <w:jc w:val="center"/>
              <w:rPr>
                <w:rFonts w:hint="eastAsia"/>
                <w:color w:val="auto"/>
                <w:highlight w:val="none"/>
              </w:rPr>
            </w:pPr>
            <w:r>
              <w:rPr>
                <w:rFonts w:hint="eastAsia"/>
                <w:color w:val="auto"/>
                <w:highlight w:val="none"/>
              </w:rPr>
              <w:t>10</w:t>
            </w:r>
          </w:p>
        </w:tc>
        <w:tc>
          <w:tcPr>
            <w:tcW w:w="1368"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vAlign w:val="center"/>
          </w:tcPr>
          <w:p>
            <w:pPr>
              <w:jc w:val="center"/>
              <w:rPr>
                <w:rFonts w:hint="eastAsia"/>
                <w:color w:val="auto"/>
                <w:sz w:val="22"/>
                <w:highlight w:val="none"/>
              </w:rPr>
            </w:pPr>
            <w:r>
              <w:rPr>
                <w:rFonts w:hint="eastAsia"/>
                <w:color w:val="auto"/>
                <w:sz w:val="22"/>
                <w:highlight w:val="none"/>
              </w:rPr>
              <w:t>综合布线实训平台</w:t>
            </w:r>
          </w:p>
        </w:tc>
        <w:tc>
          <w:tcPr>
            <w:tcW w:w="851" w:type="dxa"/>
            <w:vAlign w:val="center"/>
          </w:tcPr>
          <w:p>
            <w:pPr>
              <w:jc w:val="center"/>
              <w:rPr>
                <w:rFonts w:hint="eastAsia"/>
                <w:color w:val="auto"/>
                <w:sz w:val="18"/>
                <w:szCs w:val="18"/>
                <w:highlight w:val="none"/>
              </w:rPr>
            </w:pPr>
            <w:r>
              <w:rPr>
                <w:rFonts w:hint="eastAsia"/>
                <w:color w:val="auto"/>
                <w:sz w:val="18"/>
                <w:szCs w:val="18"/>
                <w:highlight w:val="none"/>
              </w:rPr>
              <w:t>套</w:t>
            </w:r>
          </w:p>
        </w:tc>
        <w:tc>
          <w:tcPr>
            <w:tcW w:w="297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内含6套布线综合装置、6个操作台、6个柜子、6个梯子以及网络接口</w:t>
            </w:r>
          </w:p>
        </w:tc>
        <w:tc>
          <w:tcPr>
            <w:tcW w:w="850" w:type="dxa"/>
            <w:vAlign w:val="center"/>
          </w:tcPr>
          <w:p>
            <w:pPr>
              <w:jc w:val="center"/>
              <w:rPr>
                <w:rFonts w:hint="eastAsia"/>
                <w:color w:val="auto"/>
                <w:highlight w:val="none"/>
              </w:rPr>
            </w:pPr>
            <w:r>
              <w:rPr>
                <w:rFonts w:hint="eastAsia"/>
                <w:color w:val="auto"/>
                <w:highlight w:val="none"/>
              </w:rPr>
              <w:t>6</w:t>
            </w:r>
          </w:p>
        </w:tc>
        <w:tc>
          <w:tcPr>
            <w:tcW w:w="1368"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vAlign w:val="center"/>
          </w:tcPr>
          <w:p>
            <w:pPr>
              <w:jc w:val="center"/>
              <w:rPr>
                <w:rFonts w:hint="eastAsia"/>
                <w:color w:val="auto"/>
                <w:sz w:val="22"/>
                <w:highlight w:val="none"/>
              </w:rPr>
            </w:pPr>
            <w:r>
              <w:rPr>
                <w:rFonts w:hint="eastAsia"/>
                <w:color w:val="auto"/>
                <w:sz w:val="22"/>
                <w:highlight w:val="none"/>
              </w:rPr>
              <w:t>弱电辅材以及集成布线服务</w:t>
            </w:r>
          </w:p>
        </w:tc>
        <w:tc>
          <w:tcPr>
            <w:tcW w:w="851" w:type="dxa"/>
            <w:vAlign w:val="center"/>
          </w:tcPr>
          <w:p>
            <w:pPr>
              <w:jc w:val="center"/>
              <w:rPr>
                <w:rFonts w:hint="eastAsia"/>
                <w:color w:val="auto"/>
                <w:sz w:val="18"/>
                <w:szCs w:val="18"/>
                <w:highlight w:val="none"/>
              </w:rPr>
            </w:pPr>
            <w:r>
              <w:rPr>
                <w:rFonts w:hint="eastAsia"/>
                <w:color w:val="auto"/>
                <w:sz w:val="18"/>
                <w:szCs w:val="18"/>
                <w:highlight w:val="none"/>
              </w:rPr>
              <w:t>项</w:t>
            </w:r>
          </w:p>
        </w:tc>
        <w:tc>
          <w:tcPr>
            <w:tcW w:w="2977"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含4个实验室弱电线缆和电气线缆辅材、桥架以及安装，以及交换机的安装、调试和配套的接线服务</w:t>
            </w:r>
          </w:p>
        </w:tc>
        <w:tc>
          <w:tcPr>
            <w:tcW w:w="850" w:type="dxa"/>
            <w:vAlign w:val="center"/>
          </w:tcPr>
          <w:p>
            <w:pPr>
              <w:jc w:val="center"/>
              <w:rPr>
                <w:rFonts w:hint="eastAsia"/>
                <w:color w:val="auto"/>
                <w:highlight w:val="none"/>
              </w:rPr>
            </w:pPr>
            <w:r>
              <w:rPr>
                <w:rFonts w:hint="eastAsia"/>
                <w:color w:val="auto"/>
                <w:highlight w:val="none"/>
              </w:rPr>
              <w:t>1</w:t>
            </w:r>
          </w:p>
        </w:tc>
        <w:tc>
          <w:tcPr>
            <w:tcW w:w="1368"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是</w:t>
            </w:r>
          </w:p>
        </w:tc>
      </w:tr>
    </w:tbl>
    <w:p>
      <w:pPr>
        <w:shd w:val="clear" w:color="auto" w:fill="FFFFFF"/>
        <w:spacing w:line="320" w:lineRule="exact"/>
        <w:ind w:firstLine="482" w:firstLineChars="200"/>
        <w:rPr>
          <w:rFonts w:hint="eastAsia" w:ascii="黑体" w:hAnsi="黑体" w:eastAsia="黑体" w:cs="Arial"/>
          <w:b/>
          <w:color w:val="auto"/>
          <w:highlight w:val="none"/>
        </w:rPr>
      </w:pPr>
    </w:p>
    <w:p>
      <w:pPr>
        <w:shd w:val="clear" w:color="auto" w:fill="FFFFFF"/>
        <w:spacing w:line="320" w:lineRule="exact"/>
        <w:ind w:firstLine="482" w:firstLineChars="200"/>
        <w:rPr>
          <w:rFonts w:ascii="黑体" w:hAnsi="黑体" w:eastAsia="黑体" w:cs="Arial"/>
          <w:b/>
          <w:color w:val="auto"/>
          <w:highlight w:val="none"/>
        </w:rPr>
      </w:pPr>
      <w:r>
        <w:rPr>
          <w:rFonts w:hint="eastAsia" w:ascii="黑体" w:hAnsi="黑体" w:eastAsia="黑体" w:cs="Arial"/>
          <w:b/>
          <w:color w:val="auto"/>
          <w:highlight w:val="none"/>
        </w:rPr>
        <w:t>三、技术要求</w:t>
      </w:r>
    </w:p>
    <w:tbl>
      <w:tblPr>
        <w:tblStyle w:val="25"/>
        <w:tblpPr w:leftFromText="180" w:rightFromText="180" w:vertAnchor="text" w:horzAnchor="page" w:tblpX="1411" w:tblpY="1158"/>
        <w:tblOverlap w:val="never"/>
        <w:tblW w:w="5241"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0"/>
        <w:gridCol w:w="973"/>
        <w:gridCol w:w="77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365" w:type="pct"/>
            <w:shd w:val="clear" w:color="auto" w:fill="D0CECE"/>
            <w:tcMar>
              <w:left w:w="28" w:type="dxa"/>
              <w:right w:w="28" w:type="dxa"/>
            </w:tcMar>
            <w:vAlign w:val="center"/>
          </w:tcPr>
          <w:p>
            <w:pPr>
              <w:autoSpaceDE w:val="0"/>
              <w:autoSpaceDN w:val="0"/>
              <w:adjustRightInd w:val="0"/>
              <w:spacing w:before="99" w:beforeLines="30" w:line="36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序号</w:t>
            </w:r>
          </w:p>
        </w:tc>
        <w:tc>
          <w:tcPr>
            <w:tcW w:w="515" w:type="pct"/>
            <w:shd w:val="clear" w:color="auto" w:fill="D0CECE"/>
            <w:vAlign w:val="center"/>
          </w:tcPr>
          <w:p>
            <w:pPr>
              <w:autoSpaceDE w:val="0"/>
              <w:autoSpaceDN w:val="0"/>
              <w:adjustRightInd w:val="0"/>
              <w:spacing w:before="99" w:beforeLines="30" w:line="36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名　称</w:t>
            </w:r>
          </w:p>
        </w:tc>
        <w:tc>
          <w:tcPr>
            <w:tcW w:w="4120" w:type="pct"/>
            <w:shd w:val="clear" w:color="auto" w:fill="D0CECE"/>
            <w:vAlign w:val="center"/>
          </w:tcPr>
          <w:p>
            <w:pPr>
              <w:autoSpaceDE w:val="0"/>
              <w:autoSpaceDN w:val="0"/>
              <w:adjustRightInd w:val="0"/>
              <w:spacing w:before="99" w:beforeLines="30"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技术要求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365" w:type="pct"/>
            <w:shd w:val="clear" w:color="auto" w:fill="FFFFFF"/>
            <w:tcMar>
              <w:left w:w="28" w:type="dxa"/>
              <w:right w:w="28" w:type="dxa"/>
            </w:tcMar>
            <w:vAlign w:val="center"/>
          </w:tcPr>
          <w:p>
            <w:pPr>
              <w:autoSpaceDE w:val="0"/>
              <w:autoSpaceDN w:val="0"/>
              <w:adjustRightInd w:val="0"/>
              <w:spacing w:before="99" w:beforeLines="30"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1</w:t>
            </w:r>
          </w:p>
        </w:tc>
        <w:tc>
          <w:tcPr>
            <w:tcW w:w="515" w:type="pct"/>
            <w:shd w:val="clear" w:color="auto" w:fill="FFFFFF"/>
            <w:vAlign w:val="center"/>
          </w:tcPr>
          <w:p>
            <w:pPr>
              <w:jc w:val="center"/>
              <w:rPr>
                <w:rFonts w:ascii="宋体" w:hAnsi="宋体" w:cs="宋体"/>
                <w:color w:val="auto"/>
                <w:sz w:val="22"/>
                <w:highlight w:val="none"/>
              </w:rPr>
            </w:pPr>
            <w:r>
              <w:rPr>
                <w:rFonts w:hint="eastAsia"/>
                <w:color w:val="auto"/>
                <w:sz w:val="22"/>
                <w:highlight w:val="none"/>
              </w:rPr>
              <w:t>二层交换机</w:t>
            </w:r>
          </w:p>
        </w:tc>
        <w:tc>
          <w:tcPr>
            <w:tcW w:w="4120" w:type="pct"/>
            <w:shd w:val="clear" w:color="auto" w:fill="FFFFFF"/>
            <w:vAlign w:val="center"/>
          </w:tcPr>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1.★标准19英寸1U高机架设备，可上机架 ，实配固化千兆电接口数≥24个，千兆SFP光口≥4个，最大可用端口≥28个。</w:t>
            </w:r>
          </w:p>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2.★内存256MB，交换容量≥336Gbps，包转发率≥42Mpps，。</w:t>
            </w:r>
          </w:p>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3.推荐整机待机终端140或带200W像素IPC70个</w:t>
            </w:r>
          </w:p>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4.支持DHCP Snooping；很好的避免了上网终端从非法DHCP服务器分配的IP地址，引起的网络异常或安全隐患</w:t>
            </w:r>
          </w:p>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5.支持高效节能以太网（EEE），端口如果在连续一段时间之内空闲，系统会将该端口设置为节能模式，当有报文收发时再通过定时发送的监听码流唤醒端口恢复业务，达到节能的效果</w:t>
            </w:r>
          </w:p>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6.支持防雷等级≥6KV</w:t>
            </w:r>
          </w:p>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7.▲要求所投产品支持网管平台和手机APP集中管理，实配网管平台，出现交换机端口状态改变、网络出现环路、交换机端口流量过阀值等问题通过微信告警推送，提供功能截图。</w:t>
            </w:r>
          </w:p>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8.▲要求所投交换机可以通过同一品牌的网管软件实现CPU，内存利用率的查看，以及交换机VLAN划分等功能，实配网管平台。</w:t>
            </w:r>
          </w:p>
          <w:p>
            <w:pPr>
              <w:spacing w:line="360" w:lineRule="auto"/>
              <w:rPr>
                <w:rFonts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9.▲提供国家自愿性认证CQC认证书复印件。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365" w:type="pct"/>
            <w:shd w:val="clear" w:color="auto" w:fill="FFFFFF"/>
            <w:tcMar>
              <w:left w:w="28" w:type="dxa"/>
              <w:right w:w="28" w:type="dxa"/>
            </w:tcMar>
            <w:vAlign w:val="center"/>
          </w:tcPr>
          <w:p>
            <w:pPr>
              <w:autoSpaceDE w:val="0"/>
              <w:autoSpaceDN w:val="0"/>
              <w:adjustRightInd w:val="0"/>
              <w:spacing w:before="99" w:beforeLines="30"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2</w:t>
            </w:r>
          </w:p>
        </w:tc>
        <w:tc>
          <w:tcPr>
            <w:tcW w:w="515" w:type="pct"/>
            <w:shd w:val="clear" w:color="auto" w:fill="FFFFFF"/>
            <w:vAlign w:val="center"/>
          </w:tcPr>
          <w:p>
            <w:pPr>
              <w:jc w:val="center"/>
              <w:rPr>
                <w:rFonts w:hint="eastAsia"/>
                <w:color w:val="auto"/>
                <w:sz w:val="22"/>
                <w:highlight w:val="none"/>
              </w:rPr>
            </w:pPr>
            <w:r>
              <w:rPr>
                <w:rFonts w:hint="eastAsia"/>
                <w:color w:val="auto"/>
                <w:sz w:val="22"/>
                <w:highlight w:val="none"/>
              </w:rPr>
              <w:t>路由器</w:t>
            </w:r>
          </w:p>
        </w:tc>
        <w:tc>
          <w:tcPr>
            <w:tcW w:w="4120" w:type="pct"/>
            <w:shd w:val="clear" w:color="auto" w:fill="FFFFFF"/>
            <w:vAlign w:val="center"/>
          </w:tcPr>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1.双频千兆Wi-Fi5，推荐接入1000M以内宽带</w:t>
            </w:r>
          </w:p>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2.6根高增益天线，配有独立信号放大器，单台覆盖三居室</w:t>
            </w:r>
          </w:p>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3.支持易联，可实现多台路由器有线/无线免配置一键组网，覆盖大户型和复杂户型</w:t>
            </w:r>
          </w:p>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4.支持健康模式，实现一键关闭设备指示灯，辐射控制，定时关闭Wi-Fi，保证用户的睡眠和健康</w:t>
            </w:r>
          </w:p>
          <w:p>
            <w:pPr>
              <w:spacing w:line="360" w:lineRule="auto"/>
              <w:rPr>
                <w:rFonts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5.支持家长控制，实现对儿童定时断网（可连Wi-Fi，但不能上网）或附近非法蹭网终端进行劝退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365" w:type="pct"/>
            <w:shd w:val="clear" w:color="auto" w:fill="FFFFFF"/>
            <w:tcMar>
              <w:left w:w="28" w:type="dxa"/>
              <w:right w:w="28" w:type="dxa"/>
            </w:tcMar>
            <w:vAlign w:val="center"/>
          </w:tcPr>
          <w:p>
            <w:pPr>
              <w:autoSpaceDE w:val="0"/>
              <w:autoSpaceDN w:val="0"/>
              <w:adjustRightInd w:val="0"/>
              <w:spacing w:before="99" w:beforeLines="30"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3</w:t>
            </w:r>
          </w:p>
        </w:tc>
        <w:tc>
          <w:tcPr>
            <w:tcW w:w="515" w:type="pct"/>
            <w:shd w:val="clear" w:color="auto" w:fill="FFFFFF"/>
            <w:vAlign w:val="center"/>
          </w:tcPr>
          <w:p>
            <w:pPr>
              <w:jc w:val="center"/>
              <w:rPr>
                <w:rFonts w:hint="eastAsia"/>
                <w:color w:val="auto"/>
                <w:sz w:val="22"/>
                <w:highlight w:val="none"/>
              </w:rPr>
            </w:pPr>
            <w:r>
              <w:rPr>
                <w:rFonts w:hint="eastAsia"/>
                <w:color w:val="auto"/>
                <w:sz w:val="22"/>
                <w:highlight w:val="none"/>
              </w:rPr>
              <w:t>24口poe交换机</w:t>
            </w:r>
          </w:p>
        </w:tc>
        <w:tc>
          <w:tcPr>
            <w:tcW w:w="4120" w:type="pct"/>
            <w:shd w:val="clear" w:color="auto" w:fill="FFFFFF"/>
            <w:vAlign w:val="center"/>
          </w:tcPr>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1.★标准19英寸1U高机架设备，可上机架 ，实配固化千兆电接口数≥24个，千兆SFP光口≥4个，最大可用端口≥28个；</w:t>
            </w:r>
          </w:p>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2.内存256MB，交换容量≥336Gbps，包转发率≥15Mpps；</w:t>
            </w:r>
          </w:p>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3.★支持PoE供电口≥24个，整机输出功率≥370W, 单口最大输出功率≥30W；</w:t>
            </w:r>
          </w:p>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4.推荐整机待机终端100或带200W像素IPC50个；</w:t>
            </w:r>
          </w:p>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5.支持DHCP Snooping；很好的避免了上网终端从非法DHCP服务器分配的IP地址，引起的网络异常或安全隐患；</w:t>
            </w:r>
          </w:p>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6.支持高效节能以太网（EEE），端口如果在连续一段时间之内空闲，系统会将该端口设置为节能模式，当有报文收发时再通过定时发送的监听码流唤醒端口恢复业务，达到节能的效果；</w:t>
            </w:r>
          </w:p>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7.支持标准的ACL、支持基于IP/MAC扩展的ACL；</w:t>
            </w:r>
          </w:p>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8.▲要求所投交换机可以通过同一品牌的网管软件实现CPU，内存利用率的查看，以及交换机VLAN划分等功能，实配网管平台；</w:t>
            </w:r>
          </w:p>
          <w:p>
            <w:pPr>
              <w:spacing w:line="360" w:lineRule="auto"/>
              <w:rPr>
                <w:rFonts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9.▲要求所投产品支持网管平台和手机APP集中管理，实配网管平台，出现交换机端口状态改变、网络出现环路、交换机端口流量过阀值等问题通过微信告警推送。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365" w:type="pct"/>
            <w:shd w:val="clear" w:color="auto" w:fill="FFFFFF"/>
            <w:tcMar>
              <w:left w:w="28" w:type="dxa"/>
              <w:right w:w="28" w:type="dxa"/>
            </w:tcMar>
            <w:vAlign w:val="center"/>
          </w:tcPr>
          <w:p>
            <w:pPr>
              <w:autoSpaceDE w:val="0"/>
              <w:autoSpaceDN w:val="0"/>
              <w:adjustRightInd w:val="0"/>
              <w:spacing w:before="99" w:beforeLines="30"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4</w:t>
            </w:r>
          </w:p>
        </w:tc>
        <w:tc>
          <w:tcPr>
            <w:tcW w:w="515" w:type="pct"/>
            <w:shd w:val="clear" w:color="auto" w:fill="FFFFFF"/>
            <w:vAlign w:val="center"/>
          </w:tcPr>
          <w:p>
            <w:pPr>
              <w:jc w:val="center"/>
              <w:rPr>
                <w:rFonts w:hint="eastAsia"/>
                <w:color w:val="auto"/>
                <w:sz w:val="22"/>
                <w:highlight w:val="none"/>
              </w:rPr>
            </w:pPr>
            <w:r>
              <w:rPr>
                <w:rFonts w:hint="eastAsia"/>
                <w:color w:val="auto"/>
                <w:sz w:val="22"/>
                <w:highlight w:val="none"/>
              </w:rPr>
              <w:t>无线路由器</w:t>
            </w:r>
          </w:p>
        </w:tc>
        <w:tc>
          <w:tcPr>
            <w:tcW w:w="4120" w:type="pct"/>
            <w:shd w:val="clear" w:color="auto" w:fill="FFFFFF"/>
            <w:vAlign w:val="center"/>
          </w:tcPr>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1、支持标准802.11ac wave2、wave1、802.11a/b/g/n协议；</w:t>
            </w:r>
          </w:p>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2、★支持双频双流,整机最大接入速率1167Mbps；</w:t>
            </w:r>
          </w:p>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3、标准吸顶部署AP，提供1个10/100/1000MbpsMbps自协商以太网口，及一个12V DC供电口；</w:t>
            </w:r>
          </w:p>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4、支持标准PoE以太网供电（支持802.3af/802.3at兼容供电），整机功耗小于12.95W；</w:t>
            </w:r>
          </w:p>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5、为保证设备在冬、夏两季的高可用性，要求设备可以在0°C～40°C正常工作；</w:t>
            </w:r>
          </w:p>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6、为保证设备稳定性和高可用性，要求设备平均无故障工作时间≥250000小时；</w:t>
            </w:r>
          </w:p>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7、▲支持APP本地或者远程统一运维管理，能够呈现设备的在线状态、相关网络拓扑、无线功能配置等；</w:t>
            </w:r>
          </w:p>
          <w:p>
            <w:pPr>
              <w:spacing w:line="360" w:lineRule="auto"/>
              <w:rPr>
                <w:rFonts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8、▲要求所投产品支持网管平台集中管理，实配网管平台，出现设备掉线、CPU状态、内存状态等问题通过微信告警推送。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365" w:type="pct"/>
            <w:shd w:val="clear" w:color="auto" w:fill="FFFFFF"/>
            <w:tcMar>
              <w:left w:w="28" w:type="dxa"/>
              <w:right w:w="28" w:type="dxa"/>
            </w:tcMar>
            <w:vAlign w:val="center"/>
          </w:tcPr>
          <w:p>
            <w:pPr>
              <w:autoSpaceDE w:val="0"/>
              <w:autoSpaceDN w:val="0"/>
              <w:adjustRightInd w:val="0"/>
              <w:spacing w:before="99" w:beforeLines="30"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5</w:t>
            </w:r>
          </w:p>
        </w:tc>
        <w:tc>
          <w:tcPr>
            <w:tcW w:w="515" w:type="pct"/>
            <w:shd w:val="clear" w:color="auto" w:fill="FFFFFF"/>
            <w:vAlign w:val="center"/>
          </w:tcPr>
          <w:p>
            <w:pPr>
              <w:jc w:val="center"/>
              <w:rPr>
                <w:rFonts w:hint="eastAsia"/>
                <w:color w:val="auto"/>
                <w:sz w:val="22"/>
                <w:highlight w:val="none"/>
              </w:rPr>
            </w:pPr>
            <w:r>
              <w:rPr>
                <w:rFonts w:hint="eastAsia"/>
                <w:color w:val="auto"/>
                <w:sz w:val="22"/>
                <w:highlight w:val="none"/>
              </w:rPr>
              <w:t>管理控制器</w:t>
            </w:r>
          </w:p>
        </w:tc>
        <w:tc>
          <w:tcPr>
            <w:tcW w:w="4120" w:type="pct"/>
            <w:shd w:val="clear" w:color="auto" w:fill="FFFFFF"/>
            <w:vAlign w:val="center"/>
          </w:tcPr>
          <w:p>
            <w:pPr>
              <w:spacing w:line="360" w:lineRule="auto"/>
              <w:rPr>
                <w:rFonts w:ascii="宋体" w:hAnsi="宋体" w:cs="Times New Roman"/>
                <w:color w:val="auto"/>
                <w:kern w:val="2"/>
                <w:sz w:val="21"/>
                <w:szCs w:val="24"/>
                <w:highlight w:val="none"/>
              </w:rPr>
            </w:pPr>
            <w:r>
              <w:rPr>
                <w:rFonts w:ascii="宋体" w:hAnsi="宋体" w:cs="Times New Roman"/>
                <w:color w:val="auto"/>
                <w:kern w:val="2"/>
                <w:sz w:val="21"/>
                <w:szCs w:val="24"/>
                <w:highlight w:val="none"/>
              </w:rPr>
              <w:t>千兆网口</w:t>
            </w:r>
            <w:r>
              <w:rPr>
                <w:rFonts w:hint="eastAsia" w:ascii="宋体" w:hAnsi="宋体" w:cs="Times New Roman"/>
                <w:color w:val="auto"/>
                <w:kern w:val="2"/>
                <w:sz w:val="21"/>
                <w:szCs w:val="24"/>
                <w:highlight w:val="none"/>
              </w:rPr>
              <w:t>、</w:t>
            </w:r>
            <w:r>
              <w:rPr>
                <w:rFonts w:ascii="宋体" w:hAnsi="宋体" w:cs="Times New Roman"/>
                <w:color w:val="auto"/>
                <w:kern w:val="2"/>
                <w:sz w:val="21"/>
                <w:szCs w:val="24"/>
                <w:highlight w:val="none"/>
              </w:rPr>
              <w:t>电口</w:t>
            </w:r>
            <w:r>
              <w:rPr>
                <w:rFonts w:hint="eastAsia" w:ascii="宋体" w:hAnsi="宋体" w:cs="Times New Roman"/>
                <w:color w:val="auto"/>
                <w:kern w:val="2"/>
                <w:sz w:val="21"/>
                <w:szCs w:val="24"/>
                <w:highlight w:val="none"/>
              </w:rPr>
              <w:t>、</w:t>
            </w:r>
            <w:r>
              <w:rPr>
                <w:rFonts w:ascii="宋体" w:hAnsi="宋体" w:cs="Times New Roman"/>
                <w:color w:val="auto"/>
                <w:kern w:val="2"/>
                <w:sz w:val="21"/>
                <w:szCs w:val="24"/>
                <w:highlight w:val="none"/>
              </w:rPr>
              <w:t>支持AP管理</w:t>
            </w:r>
            <w:r>
              <w:rPr>
                <w:rFonts w:hint="eastAsia" w:ascii="宋体" w:hAnsi="宋体" w:cs="Times New Roman"/>
                <w:color w:val="auto"/>
                <w:kern w:val="2"/>
                <w:sz w:val="21"/>
                <w:szCs w:val="24"/>
                <w:highlight w:val="none"/>
              </w:rPr>
              <w:t>、</w:t>
            </w:r>
            <w:r>
              <w:rPr>
                <w:rFonts w:ascii="宋体" w:hAnsi="宋体" w:cs="Times New Roman"/>
                <w:color w:val="auto"/>
                <w:kern w:val="2"/>
                <w:sz w:val="21"/>
                <w:szCs w:val="24"/>
                <w:highlight w:val="none"/>
              </w:rPr>
              <w:t>支持IPv6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365" w:type="pct"/>
            <w:shd w:val="clear" w:color="auto" w:fill="FFFFFF"/>
            <w:tcMar>
              <w:left w:w="28" w:type="dxa"/>
              <w:right w:w="28" w:type="dxa"/>
            </w:tcMar>
            <w:vAlign w:val="center"/>
          </w:tcPr>
          <w:p>
            <w:pPr>
              <w:autoSpaceDE w:val="0"/>
              <w:autoSpaceDN w:val="0"/>
              <w:adjustRightInd w:val="0"/>
              <w:spacing w:before="99" w:beforeLines="30"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6</w:t>
            </w:r>
          </w:p>
        </w:tc>
        <w:tc>
          <w:tcPr>
            <w:tcW w:w="515" w:type="pct"/>
            <w:shd w:val="clear" w:color="auto" w:fill="FFFFFF"/>
            <w:vAlign w:val="center"/>
          </w:tcPr>
          <w:p>
            <w:pPr>
              <w:jc w:val="center"/>
              <w:rPr>
                <w:rFonts w:hint="eastAsia"/>
                <w:color w:val="auto"/>
                <w:sz w:val="22"/>
                <w:highlight w:val="none"/>
              </w:rPr>
            </w:pPr>
            <w:r>
              <w:rPr>
                <w:rFonts w:hint="eastAsia"/>
                <w:color w:val="auto"/>
                <w:sz w:val="22"/>
                <w:highlight w:val="none"/>
              </w:rPr>
              <w:t>无线网卡</w:t>
            </w:r>
          </w:p>
        </w:tc>
        <w:tc>
          <w:tcPr>
            <w:tcW w:w="4120" w:type="pct"/>
            <w:shd w:val="clear" w:color="auto" w:fill="FFFFFF"/>
            <w:vAlign w:val="center"/>
          </w:tcPr>
          <w:p>
            <w:pPr>
              <w:spacing w:line="360" w:lineRule="auto"/>
              <w:rPr>
                <w:rFonts w:ascii="宋体" w:hAnsi="宋体" w:cs="Times New Roman"/>
                <w:color w:val="auto"/>
                <w:kern w:val="2"/>
                <w:sz w:val="21"/>
                <w:szCs w:val="24"/>
                <w:highlight w:val="none"/>
              </w:rPr>
            </w:pPr>
            <w:r>
              <w:rPr>
                <w:rFonts w:ascii="宋体" w:hAnsi="宋体" w:cs="Times New Roman"/>
                <w:color w:val="auto"/>
                <w:kern w:val="2"/>
                <w:sz w:val="21"/>
                <w:szCs w:val="24"/>
                <w:highlight w:val="none"/>
              </w:rPr>
              <w:t>支持Mesh</w:t>
            </w:r>
            <w:r>
              <w:rPr>
                <w:rFonts w:hint="eastAsia" w:ascii="宋体" w:hAnsi="宋体" w:cs="Times New Roman"/>
                <w:color w:val="auto"/>
                <w:kern w:val="2"/>
                <w:sz w:val="21"/>
                <w:szCs w:val="24"/>
                <w:highlight w:val="none"/>
              </w:rPr>
              <w:t>、</w:t>
            </w:r>
            <w:r>
              <w:rPr>
                <w:rFonts w:ascii="宋体" w:hAnsi="宋体" w:cs="Times New Roman"/>
                <w:color w:val="auto"/>
                <w:kern w:val="2"/>
                <w:sz w:val="21"/>
                <w:szCs w:val="24"/>
                <w:highlight w:val="none"/>
              </w:rPr>
              <w:t>电口</w:t>
            </w:r>
            <w:r>
              <w:rPr>
                <w:rFonts w:hint="eastAsia" w:ascii="宋体" w:hAnsi="宋体" w:cs="Times New Roman"/>
                <w:color w:val="auto"/>
                <w:kern w:val="2"/>
                <w:sz w:val="21"/>
                <w:szCs w:val="24"/>
                <w:highlight w:val="none"/>
              </w:rPr>
              <w:t>、</w:t>
            </w:r>
            <w:r>
              <w:rPr>
                <w:rFonts w:ascii="宋体" w:hAnsi="宋体" w:cs="Times New Roman"/>
                <w:color w:val="auto"/>
                <w:kern w:val="2"/>
                <w:sz w:val="21"/>
                <w:szCs w:val="24"/>
                <w:highlight w:val="none"/>
              </w:rPr>
              <w:t>千兆网口</w:t>
            </w:r>
            <w:r>
              <w:rPr>
                <w:rFonts w:hint="eastAsia" w:ascii="宋体" w:hAnsi="宋体" w:cs="Times New Roman"/>
                <w:color w:val="auto"/>
                <w:kern w:val="2"/>
                <w:sz w:val="21"/>
                <w:szCs w:val="24"/>
                <w:highlight w:val="none"/>
              </w:rPr>
              <w:t>、</w:t>
            </w:r>
            <w:r>
              <w:rPr>
                <w:rFonts w:ascii="宋体" w:hAnsi="宋体" w:cs="Times New Roman"/>
                <w:color w:val="auto"/>
                <w:kern w:val="2"/>
                <w:sz w:val="21"/>
                <w:szCs w:val="24"/>
                <w:highlight w:val="none"/>
              </w:rPr>
              <w:t>支持IPv6</w:t>
            </w:r>
            <w:r>
              <w:rPr>
                <w:rFonts w:hint="eastAsia" w:ascii="宋体" w:hAnsi="宋体" w:cs="Times New Roman"/>
                <w:color w:val="auto"/>
                <w:kern w:val="2"/>
                <w:sz w:val="21"/>
                <w:szCs w:val="24"/>
                <w:highlight w:val="none"/>
              </w:rPr>
              <w:t>、</w:t>
            </w:r>
            <w:r>
              <w:rPr>
                <w:rFonts w:ascii="宋体" w:hAnsi="宋体" w:cs="Times New Roman"/>
                <w:color w:val="auto"/>
                <w:kern w:val="2"/>
                <w:sz w:val="21"/>
                <w:szCs w:val="24"/>
                <w:highlight w:val="none"/>
              </w:rPr>
              <w:t xml:space="preserve"> APP管理，WEB页面</w:t>
            </w:r>
            <w:r>
              <w:rPr>
                <w:rFonts w:hint="eastAsia" w:ascii="宋体" w:hAnsi="宋体" w:cs="Times New Roman"/>
                <w:color w:val="auto"/>
                <w:kern w:val="2"/>
                <w:sz w:val="21"/>
                <w:szCs w:val="24"/>
                <w:highlight w:val="none"/>
              </w:rPr>
              <w:t>、</w:t>
            </w:r>
            <w:r>
              <w:rPr>
                <w:rFonts w:ascii="宋体" w:hAnsi="宋体" w:cs="Times New Roman"/>
                <w:color w:val="auto"/>
                <w:kern w:val="2"/>
                <w:sz w:val="21"/>
                <w:szCs w:val="24"/>
                <w:highlight w:val="none"/>
              </w:rPr>
              <w:t>双频</w:t>
            </w:r>
            <w:r>
              <w:rPr>
                <w:rFonts w:hint="eastAsia" w:ascii="宋体" w:hAnsi="宋体" w:cs="Times New Roman"/>
                <w:color w:val="auto"/>
                <w:kern w:val="2"/>
                <w:sz w:val="21"/>
                <w:szCs w:val="24"/>
                <w:highlight w:val="none"/>
              </w:rPr>
              <w:t>、</w:t>
            </w:r>
            <w:r>
              <w:rPr>
                <w:rFonts w:ascii="宋体" w:hAnsi="宋体" w:cs="Times New Roman"/>
                <w:color w:val="auto"/>
                <w:kern w:val="2"/>
                <w:sz w:val="21"/>
                <w:szCs w:val="24"/>
                <w:highlight w:val="none"/>
              </w:rPr>
              <w:t>支持网口盲插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365" w:type="pct"/>
            <w:shd w:val="clear" w:color="auto" w:fill="FFFFFF"/>
            <w:tcMar>
              <w:left w:w="28" w:type="dxa"/>
              <w:right w:w="28" w:type="dxa"/>
            </w:tcMar>
            <w:vAlign w:val="center"/>
          </w:tcPr>
          <w:p>
            <w:pPr>
              <w:autoSpaceDE w:val="0"/>
              <w:autoSpaceDN w:val="0"/>
              <w:adjustRightInd w:val="0"/>
              <w:spacing w:before="99" w:beforeLines="30"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7</w:t>
            </w:r>
          </w:p>
        </w:tc>
        <w:tc>
          <w:tcPr>
            <w:tcW w:w="515" w:type="pct"/>
            <w:shd w:val="clear" w:color="auto" w:fill="FFFFFF"/>
            <w:vAlign w:val="center"/>
          </w:tcPr>
          <w:p>
            <w:pPr>
              <w:jc w:val="center"/>
              <w:rPr>
                <w:rFonts w:hint="eastAsia"/>
                <w:color w:val="auto"/>
                <w:sz w:val="22"/>
                <w:highlight w:val="none"/>
              </w:rPr>
            </w:pPr>
            <w:r>
              <w:rPr>
                <w:rFonts w:hint="eastAsia"/>
                <w:color w:val="auto"/>
                <w:sz w:val="22"/>
                <w:highlight w:val="none"/>
              </w:rPr>
              <w:t>网络测试仪</w:t>
            </w:r>
          </w:p>
        </w:tc>
        <w:tc>
          <w:tcPr>
            <w:tcW w:w="4120" w:type="pct"/>
            <w:shd w:val="clear" w:color="auto" w:fill="FFFFFF"/>
            <w:vAlign w:val="center"/>
          </w:tcPr>
          <w:p>
            <w:pPr>
              <w:numPr>
                <w:ilvl w:val="0"/>
                <w:numId w:val="2"/>
              </w:numPr>
              <w:shd w:val="clear" w:color="auto" w:fill="FFFFFF"/>
              <w:spacing w:after="75"/>
              <w:ind w:left="0"/>
              <w:rPr>
                <w:rFonts w:hint="eastAsia" w:ascii="宋体" w:hAnsi="宋体" w:cs="Times New Roman"/>
                <w:color w:val="auto"/>
                <w:kern w:val="2"/>
                <w:sz w:val="21"/>
                <w:szCs w:val="24"/>
                <w:highlight w:val="none"/>
              </w:rPr>
            </w:pPr>
            <w:r>
              <w:rPr>
                <w:rFonts w:ascii="宋体" w:hAnsi="宋体" w:cs="Times New Roman"/>
                <w:color w:val="auto"/>
                <w:kern w:val="2"/>
                <w:sz w:val="21"/>
                <w:szCs w:val="24"/>
                <w:highlight w:val="none"/>
              </w:rPr>
              <w:t>环境检测</w:t>
            </w:r>
            <w:r>
              <w:rPr>
                <w:rFonts w:hint="eastAsia" w:ascii="宋体" w:hAnsi="宋体" w:cs="Times New Roman"/>
                <w:color w:val="auto"/>
                <w:kern w:val="2"/>
                <w:sz w:val="21"/>
                <w:szCs w:val="24"/>
                <w:highlight w:val="none"/>
              </w:rPr>
              <w:t>，</w:t>
            </w:r>
            <w:r>
              <w:rPr>
                <w:rFonts w:ascii="宋体" w:hAnsi="宋体" w:cs="Times New Roman"/>
                <w:color w:val="auto"/>
                <w:kern w:val="2"/>
                <w:sz w:val="21"/>
                <w:szCs w:val="24"/>
                <w:highlight w:val="none"/>
              </w:rPr>
              <w:t>电气安全测试</w:t>
            </w:r>
            <w:r>
              <w:rPr>
                <w:rFonts w:hint="eastAsia" w:ascii="宋体" w:hAnsi="宋体" w:cs="Times New Roman"/>
                <w:color w:val="auto"/>
                <w:kern w:val="2"/>
                <w:sz w:val="21"/>
                <w:szCs w:val="24"/>
                <w:highlight w:val="none"/>
              </w:rPr>
              <w:t>，</w:t>
            </w:r>
            <w:r>
              <w:rPr>
                <w:rFonts w:ascii="宋体" w:hAnsi="宋体" w:cs="Times New Roman"/>
                <w:color w:val="auto"/>
                <w:kern w:val="2"/>
                <w:sz w:val="21"/>
                <w:szCs w:val="24"/>
                <w:highlight w:val="none"/>
              </w:rPr>
              <w:t>网络测试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365" w:type="pct"/>
            <w:shd w:val="clear" w:color="auto" w:fill="FFFFFF"/>
            <w:tcMar>
              <w:left w:w="28" w:type="dxa"/>
              <w:right w:w="28" w:type="dxa"/>
            </w:tcMar>
            <w:vAlign w:val="center"/>
          </w:tcPr>
          <w:p>
            <w:pPr>
              <w:autoSpaceDE w:val="0"/>
              <w:autoSpaceDN w:val="0"/>
              <w:adjustRightInd w:val="0"/>
              <w:spacing w:before="99" w:beforeLines="30"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8</w:t>
            </w:r>
          </w:p>
        </w:tc>
        <w:tc>
          <w:tcPr>
            <w:tcW w:w="515" w:type="pct"/>
            <w:shd w:val="clear" w:color="auto" w:fill="FFFFFF"/>
            <w:vAlign w:val="center"/>
          </w:tcPr>
          <w:p>
            <w:pPr>
              <w:jc w:val="center"/>
              <w:rPr>
                <w:rFonts w:hint="eastAsia"/>
                <w:color w:val="auto"/>
                <w:sz w:val="22"/>
                <w:highlight w:val="none"/>
              </w:rPr>
            </w:pPr>
            <w:bookmarkStart w:id="0" w:name="OLE_LINK1"/>
            <w:r>
              <w:rPr>
                <w:rFonts w:hint="eastAsia"/>
                <w:color w:val="auto"/>
                <w:sz w:val="22"/>
                <w:highlight w:val="none"/>
              </w:rPr>
              <w:t>机柜37U</w:t>
            </w:r>
            <w:bookmarkEnd w:id="0"/>
          </w:p>
        </w:tc>
        <w:tc>
          <w:tcPr>
            <w:tcW w:w="4120" w:type="pct"/>
            <w:shd w:val="clear" w:color="auto" w:fill="FFFFFF"/>
            <w:vAlign w:val="center"/>
          </w:tcPr>
          <w:p>
            <w:pPr>
              <w:spacing w:line="360" w:lineRule="auto"/>
              <w:rPr>
                <w:rFonts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3</w:t>
            </w:r>
            <w:r>
              <w:rPr>
                <w:rFonts w:ascii="宋体" w:hAnsi="宋体" w:cs="Times New Roman"/>
                <w:color w:val="auto"/>
                <w:kern w:val="2"/>
                <w:sz w:val="21"/>
                <w:szCs w:val="24"/>
                <w:highlight w:val="none"/>
              </w:rPr>
              <w:t>7U</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365" w:type="pct"/>
            <w:shd w:val="clear" w:color="auto" w:fill="FFFFFF"/>
            <w:tcMar>
              <w:left w:w="28" w:type="dxa"/>
              <w:right w:w="28" w:type="dxa"/>
            </w:tcMar>
            <w:vAlign w:val="center"/>
          </w:tcPr>
          <w:p>
            <w:pPr>
              <w:autoSpaceDE w:val="0"/>
              <w:autoSpaceDN w:val="0"/>
              <w:adjustRightInd w:val="0"/>
              <w:spacing w:before="99" w:beforeLines="30"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9</w:t>
            </w:r>
          </w:p>
        </w:tc>
        <w:tc>
          <w:tcPr>
            <w:tcW w:w="515" w:type="pct"/>
            <w:shd w:val="clear" w:color="auto" w:fill="FFFFFF"/>
            <w:vAlign w:val="center"/>
          </w:tcPr>
          <w:p>
            <w:pPr>
              <w:jc w:val="center"/>
              <w:rPr>
                <w:rFonts w:hint="eastAsia"/>
                <w:color w:val="auto"/>
                <w:sz w:val="22"/>
                <w:highlight w:val="none"/>
              </w:rPr>
            </w:pPr>
            <w:r>
              <w:rPr>
                <w:rFonts w:hint="eastAsia"/>
                <w:color w:val="auto"/>
                <w:sz w:val="22"/>
                <w:highlight w:val="none"/>
              </w:rPr>
              <w:t>配线架</w:t>
            </w:r>
          </w:p>
        </w:tc>
        <w:tc>
          <w:tcPr>
            <w:tcW w:w="4120" w:type="pct"/>
            <w:shd w:val="clear" w:color="auto" w:fill="FFFFFF"/>
            <w:vAlign w:val="center"/>
          </w:tcPr>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2</w:t>
            </w:r>
            <w:r>
              <w:rPr>
                <w:rFonts w:ascii="宋体" w:hAnsi="宋体" w:cs="Times New Roman"/>
                <w:color w:val="auto"/>
                <w:kern w:val="2"/>
                <w:sz w:val="21"/>
                <w:szCs w:val="24"/>
                <w:highlight w:val="none"/>
              </w:rPr>
              <w:t>4</w:t>
            </w:r>
            <w:r>
              <w:rPr>
                <w:rFonts w:hint="eastAsia" w:ascii="宋体" w:hAnsi="宋体" w:cs="Times New Roman"/>
                <w:color w:val="auto"/>
                <w:kern w:val="2"/>
                <w:sz w:val="21"/>
                <w:szCs w:val="24"/>
                <w:highlight w:val="none"/>
              </w:rPr>
              <w:t>口超6类配线架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365" w:type="pct"/>
            <w:shd w:val="clear" w:color="auto" w:fill="FFFFFF"/>
            <w:tcMar>
              <w:left w:w="28" w:type="dxa"/>
              <w:right w:w="28" w:type="dxa"/>
            </w:tcMar>
            <w:vAlign w:val="center"/>
          </w:tcPr>
          <w:p>
            <w:pPr>
              <w:autoSpaceDE w:val="0"/>
              <w:autoSpaceDN w:val="0"/>
              <w:adjustRightInd w:val="0"/>
              <w:spacing w:before="99" w:beforeLines="30"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0</w:t>
            </w:r>
          </w:p>
        </w:tc>
        <w:tc>
          <w:tcPr>
            <w:tcW w:w="515" w:type="pct"/>
            <w:shd w:val="clear" w:color="auto" w:fill="FFFFFF"/>
            <w:vAlign w:val="center"/>
          </w:tcPr>
          <w:p>
            <w:pPr>
              <w:jc w:val="center"/>
              <w:rPr>
                <w:rFonts w:hint="eastAsia"/>
                <w:color w:val="auto"/>
                <w:sz w:val="22"/>
                <w:highlight w:val="none"/>
              </w:rPr>
            </w:pPr>
            <w:r>
              <w:rPr>
                <w:rFonts w:hint="eastAsia"/>
                <w:color w:val="auto"/>
                <w:sz w:val="22"/>
                <w:highlight w:val="none"/>
              </w:rPr>
              <w:t>三层交换机</w:t>
            </w:r>
          </w:p>
        </w:tc>
        <w:tc>
          <w:tcPr>
            <w:tcW w:w="4120" w:type="pct"/>
            <w:shd w:val="clear" w:color="auto" w:fill="FFFFFF"/>
            <w:vAlign w:val="center"/>
          </w:tcPr>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1、★固化端口：≥24个10/100/1000Mbps电口，≥4个SFP光口，标准1U设备；</w:t>
            </w:r>
          </w:p>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2、交换容量≥336Gbps，包转发率≥51Mpps；</w:t>
            </w:r>
          </w:p>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3、支持 MAC地址容量≥16K，三层SVI接口≥16个;</w:t>
            </w:r>
          </w:p>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4、为避免网络被异常流量和突发流量波及导致网络瘫痪，要求设备支持QOS，支持端口流量限速</w:t>
            </w:r>
          </w:p>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 xml:space="preserve">5、▲支持专门针对CPU的保护机制，能够针对发往CPU处理的各种报文进行流量控制和优先级处理，保护交换机在各种环境下稳定工作； </w:t>
            </w:r>
          </w:p>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6、支持标准的ACL、支持基于IP/MAC扩展的ACL；</w:t>
            </w:r>
          </w:p>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7、▲支持网管平台管理，通过可上网的PC或者手机，即可完成部署，即插即用，支持可视化整网拓扑、前面板端口通断状态呈现、CPU、内存利用率、设备配置等功能；</w:t>
            </w:r>
          </w:p>
          <w:p>
            <w:pPr>
              <w:spacing w:line="360" w:lineRule="auto"/>
              <w:rPr>
                <w:rFonts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8、▲为方便新建项目开局，要求设备支持对全网同品牌设备进行统一的发现，并通过网关对交换、AP、AC进行集中化的调试，避免各区域分别调试的麻烦。提供设备配置截图作为证明，如需要依赖于外部软件实现，需免费提供软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365" w:type="pct"/>
            <w:shd w:val="clear" w:color="auto" w:fill="FFFFFF"/>
            <w:tcMar>
              <w:left w:w="28" w:type="dxa"/>
              <w:right w:w="28" w:type="dxa"/>
            </w:tcMar>
            <w:vAlign w:val="center"/>
          </w:tcPr>
          <w:p>
            <w:pPr>
              <w:autoSpaceDE w:val="0"/>
              <w:autoSpaceDN w:val="0"/>
              <w:adjustRightInd w:val="0"/>
              <w:spacing w:before="99" w:beforeLines="30"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1</w:t>
            </w:r>
          </w:p>
        </w:tc>
        <w:tc>
          <w:tcPr>
            <w:tcW w:w="515" w:type="pct"/>
            <w:shd w:val="clear" w:color="auto" w:fill="FFFFFF"/>
            <w:vAlign w:val="center"/>
          </w:tcPr>
          <w:p>
            <w:pPr>
              <w:jc w:val="center"/>
              <w:rPr>
                <w:rFonts w:hint="eastAsia"/>
                <w:color w:val="auto"/>
                <w:sz w:val="22"/>
                <w:highlight w:val="none"/>
              </w:rPr>
            </w:pPr>
            <w:r>
              <w:rPr>
                <w:rFonts w:hint="eastAsia"/>
                <w:color w:val="auto"/>
                <w:sz w:val="22"/>
                <w:highlight w:val="none"/>
              </w:rPr>
              <w:t>交换机</w:t>
            </w:r>
          </w:p>
        </w:tc>
        <w:tc>
          <w:tcPr>
            <w:tcW w:w="4120" w:type="pct"/>
            <w:shd w:val="clear" w:color="auto" w:fill="FFFFFF"/>
            <w:vAlign w:val="center"/>
          </w:tcPr>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1、实配固化10/100/1000M以太网端口≥24个</w:t>
            </w:r>
          </w:p>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2、★要求所投交换机满足交换容量≥48Gbps，转发性能≥36Mpps；</w:t>
            </w:r>
          </w:p>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3、产品支持端口防雷≥6KV（非防静电）；</w:t>
            </w:r>
          </w:p>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4、工作温度范围0-50°C；</w:t>
            </w:r>
          </w:p>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5、▲要求所投产品可快速检测链路的通断，并支持端口下的环路检测功能，防止端口下因私接Hub等设备形成的环路而导致网络故障；</w:t>
            </w:r>
          </w:p>
          <w:p>
            <w:pPr>
              <w:spacing w:line="360" w:lineRule="auto"/>
              <w:rPr>
                <w:rFonts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6、▲为了提升运维的便捷性，要求所投交换机支持手机APP集中管理，能够实现拓扑呈现、端口状态显示、VLAN配置等，提供官网截图及APP界面；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365" w:type="pct"/>
            <w:shd w:val="clear" w:color="auto" w:fill="FFFFFF"/>
            <w:tcMar>
              <w:left w:w="28" w:type="dxa"/>
              <w:right w:w="28" w:type="dxa"/>
            </w:tcMar>
            <w:vAlign w:val="center"/>
          </w:tcPr>
          <w:p>
            <w:pPr>
              <w:autoSpaceDE w:val="0"/>
              <w:autoSpaceDN w:val="0"/>
              <w:adjustRightInd w:val="0"/>
              <w:spacing w:before="99" w:beforeLines="30"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2</w:t>
            </w:r>
          </w:p>
        </w:tc>
        <w:tc>
          <w:tcPr>
            <w:tcW w:w="515" w:type="pct"/>
            <w:shd w:val="clear" w:color="auto" w:fill="FFFFFF"/>
            <w:vAlign w:val="center"/>
          </w:tcPr>
          <w:p>
            <w:pPr>
              <w:jc w:val="center"/>
              <w:rPr>
                <w:rFonts w:hint="eastAsia"/>
                <w:color w:val="auto"/>
                <w:sz w:val="22"/>
                <w:highlight w:val="none"/>
              </w:rPr>
            </w:pPr>
            <w:r>
              <w:rPr>
                <w:rFonts w:hint="eastAsia"/>
                <w:color w:val="auto"/>
                <w:sz w:val="22"/>
                <w:highlight w:val="none"/>
              </w:rPr>
              <w:t>铜缆工具箱</w:t>
            </w:r>
          </w:p>
        </w:tc>
        <w:tc>
          <w:tcPr>
            <w:tcW w:w="4120" w:type="pct"/>
            <w:shd w:val="clear" w:color="auto" w:fill="FFFFFF"/>
            <w:vAlign w:val="center"/>
          </w:tcPr>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含弱电工具以及电气工具箱子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365" w:type="pct"/>
            <w:shd w:val="clear" w:color="auto" w:fill="FFFFFF"/>
            <w:tcMar>
              <w:left w:w="28" w:type="dxa"/>
              <w:right w:w="28" w:type="dxa"/>
            </w:tcMar>
            <w:vAlign w:val="center"/>
          </w:tcPr>
          <w:p>
            <w:pPr>
              <w:autoSpaceDE w:val="0"/>
              <w:autoSpaceDN w:val="0"/>
              <w:adjustRightInd w:val="0"/>
              <w:spacing w:before="99" w:beforeLines="30"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3</w:t>
            </w:r>
          </w:p>
        </w:tc>
        <w:tc>
          <w:tcPr>
            <w:tcW w:w="515" w:type="pct"/>
            <w:shd w:val="clear" w:color="auto" w:fill="FFFFFF"/>
            <w:vAlign w:val="center"/>
          </w:tcPr>
          <w:p>
            <w:pPr>
              <w:jc w:val="center"/>
              <w:rPr>
                <w:rFonts w:hint="eastAsia"/>
                <w:color w:val="auto"/>
                <w:sz w:val="22"/>
                <w:highlight w:val="none"/>
              </w:rPr>
            </w:pPr>
            <w:r>
              <w:rPr>
                <w:rFonts w:hint="eastAsia"/>
                <w:color w:val="auto"/>
                <w:sz w:val="22"/>
                <w:highlight w:val="none"/>
              </w:rPr>
              <w:t>综合布线实训平台</w:t>
            </w:r>
          </w:p>
        </w:tc>
        <w:tc>
          <w:tcPr>
            <w:tcW w:w="4120" w:type="pct"/>
            <w:shd w:val="clear" w:color="auto" w:fill="FFFFFF"/>
            <w:vAlign w:val="center"/>
          </w:tcPr>
          <w:p>
            <w:pPr>
              <w:spacing w:line="360" w:lineRule="auto"/>
              <w:rPr>
                <w:rFonts w:hint="eastAsia" w:ascii="宋体" w:hAnsi="宋体" w:cs="Times New Roman"/>
                <w:color w:val="auto"/>
                <w:kern w:val="2"/>
                <w:sz w:val="21"/>
                <w:szCs w:val="21"/>
                <w:highlight w:val="none"/>
              </w:rPr>
            </w:pPr>
            <w:r>
              <w:rPr>
                <w:rFonts w:hint="eastAsia" w:ascii="宋体" w:hAnsi="宋体" w:cs="宋体"/>
                <w:color w:val="auto"/>
                <w:sz w:val="21"/>
                <w:szCs w:val="21"/>
                <w:highlight w:val="none"/>
              </w:rPr>
              <w:t>内含6套布线综合装置、6个操作台、6个柜子、6个梯子以及网络接口，网架高2</w:t>
            </w:r>
            <w:r>
              <w:rPr>
                <w:rFonts w:ascii="宋体" w:hAnsi="宋体" w:cs="宋体"/>
                <w:color w:val="auto"/>
                <w:sz w:val="21"/>
                <w:szCs w:val="21"/>
                <w:highlight w:val="none"/>
              </w:rPr>
              <w:t>.1</w:t>
            </w:r>
            <w:r>
              <w:rPr>
                <w:rFonts w:hint="eastAsia" w:ascii="宋体" w:hAnsi="宋体" w:cs="宋体"/>
                <w:color w:val="auto"/>
                <w:sz w:val="21"/>
                <w:szCs w:val="21"/>
                <w:highlight w:val="none"/>
              </w:rPr>
              <w:t>米，宽3米，带移动地脚，喷塑，要求耐用，移动支架可以承受5</w:t>
            </w:r>
            <w:r>
              <w:rPr>
                <w:rFonts w:ascii="宋体" w:hAnsi="宋体" w:cs="宋体"/>
                <w:color w:val="auto"/>
                <w:sz w:val="21"/>
                <w:szCs w:val="21"/>
                <w:highlight w:val="none"/>
              </w:rPr>
              <w:t>00KG</w:t>
            </w:r>
            <w:r>
              <w:rPr>
                <w:rFonts w:hint="eastAsia" w:ascii="宋体" w:hAnsi="宋体" w:cs="宋体"/>
                <w:color w:val="auto"/>
                <w:sz w:val="21"/>
                <w:szCs w:val="21"/>
                <w:highlight w:val="none"/>
              </w:rPr>
              <w:t>的重量，装置前后为加厚型装置，确保美观结实耐用，网架带两排支架含弱电通讯插口以及2</w:t>
            </w:r>
            <w:r>
              <w:rPr>
                <w:rFonts w:ascii="宋体" w:hAnsi="宋体" w:cs="宋体"/>
                <w:color w:val="auto"/>
                <w:sz w:val="21"/>
                <w:szCs w:val="21"/>
                <w:highlight w:val="none"/>
              </w:rPr>
              <w:t>4</w:t>
            </w:r>
            <w:r>
              <w:rPr>
                <w:rFonts w:hint="eastAsia" w:ascii="宋体" w:hAnsi="宋体" w:cs="宋体"/>
                <w:color w:val="auto"/>
                <w:sz w:val="21"/>
                <w:szCs w:val="21"/>
                <w:highlight w:val="none"/>
              </w:rPr>
              <w:t>口的通讯线缆的支架箱。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365" w:type="pct"/>
            <w:shd w:val="clear" w:color="auto" w:fill="FFFFFF"/>
            <w:tcMar>
              <w:left w:w="28" w:type="dxa"/>
              <w:right w:w="28" w:type="dxa"/>
            </w:tcMar>
            <w:vAlign w:val="center"/>
          </w:tcPr>
          <w:p>
            <w:pPr>
              <w:autoSpaceDE w:val="0"/>
              <w:autoSpaceDN w:val="0"/>
              <w:adjustRightInd w:val="0"/>
              <w:spacing w:before="99" w:beforeLines="30"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4</w:t>
            </w:r>
          </w:p>
        </w:tc>
        <w:tc>
          <w:tcPr>
            <w:tcW w:w="515" w:type="pct"/>
            <w:shd w:val="clear" w:color="auto" w:fill="FFFFFF"/>
            <w:vAlign w:val="center"/>
          </w:tcPr>
          <w:p>
            <w:pPr>
              <w:jc w:val="center"/>
              <w:rPr>
                <w:rFonts w:hint="eastAsia"/>
                <w:color w:val="auto"/>
                <w:sz w:val="22"/>
                <w:highlight w:val="none"/>
              </w:rPr>
            </w:pPr>
            <w:r>
              <w:rPr>
                <w:rFonts w:hint="eastAsia"/>
                <w:color w:val="auto"/>
                <w:sz w:val="22"/>
                <w:highlight w:val="none"/>
              </w:rPr>
              <w:t>集成布线服务</w:t>
            </w:r>
          </w:p>
        </w:tc>
        <w:tc>
          <w:tcPr>
            <w:tcW w:w="4120" w:type="pct"/>
            <w:shd w:val="clear" w:color="auto" w:fill="FFFFFF"/>
            <w:vAlign w:val="center"/>
          </w:tcPr>
          <w:p>
            <w:pPr>
              <w:spacing w:line="360" w:lineRule="auto"/>
              <w:rPr>
                <w:rFonts w:hint="eastAsia"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弱电线缆布线以及供电线缆的布线以及配套桥架的辅材和安装。</w:t>
            </w:r>
          </w:p>
        </w:tc>
      </w:tr>
    </w:tbl>
    <w:p>
      <w:pPr>
        <w:shd w:val="clear" w:color="auto" w:fill="FFFFFF"/>
        <w:spacing w:line="320" w:lineRule="exact"/>
        <w:rPr>
          <w:rFonts w:ascii="黑体" w:hAnsi="黑体" w:eastAsia="黑体" w:cs="Arial"/>
          <w:b/>
          <w:color w:val="auto"/>
          <w:highlight w:val="none"/>
        </w:rPr>
      </w:pPr>
    </w:p>
    <w:p>
      <w:pPr>
        <w:shd w:val="clear" w:color="auto" w:fill="FFFFFF"/>
        <w:spacing w:line="320" w:lineRule="exact"/>
        <w:ind w:firstLine="479" w:firstLineChars="199"/>
        <w:rPr>
          <w:rFonts w:ascii="黑体" w:hAnsi="黑体" w:eastAsia="黑体" w:cs="Arial"/>
          <w:b/>
          <w:color w:val="auto"/>
          <w:highlight w:val="none"/>
        </w:rPr>
      </w:pPr>
    </w:p>
    <w:p>
      <w:pPr>
        <w:shd w:val="clear" w:color="auto" w:fill="FFFFFF"/>
        <w:spacing w:line="320" w:lineRule="exact"/>
        <w:ind w:firstLine="479" w:firstLineChars="199"/>
        <w:rPr>
          <w:rFonts w:ascii="黑体" w:hAnsi="黑体" w:eastAsia="黑体" w:cs="Arial"/>
          <w:b/>
          <w:color w:val="auto"/>
          <w:highlight w:val="none"/>
        </w:rPr>
      </w:pPr>
      <w:r>
        <w:rPr>
          <w:rFonts w:hint="eastAsia" w:ascii="黑体" w:hAnsi="黑体" w:eastAsia="黑体" w:cs="Arial"/>
          <w:b/>
          <w:color w:val="auto"/>
          <w:highlight w:val="none"/>
        </w:rPr>
        <w:t>四、商务要求</w:t>
      </w:r>
    </w:p>
    <w:tbl>
      <w:tblPr>
        <w:tblStyle w:val="25"/>
        <w:tblpPr w:leftFromText="180" w:rightFromText="180" w:vertAnchor="text" w:horzAnchor="page" w:tblpX="1731" w:tblpY="326"/>
        <w:tblOverlap w:val="never"/>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93"/>
        <w:gridCol w:w="7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blHeader/>
        </w:trPr>
        <w:tc>
          <w:tcPr>
            <w:tcW w:w="795" w:type="dxa"/>
            <w:vAlign w:val="center"/>
          </w:tcPr>
          <w:p>
            <w:pPr>
              <w:autoSpaceDE w:val="0"/>
              <w:autoSpaceDN w:val="0"/>
              <w:adjustRightInd w:val="0"/>
              <w:snapToGrid w:val="0"/>
              <w:spacing w:line="320" w:lineRule="exact"/>
              <w:jc w:val="center"/>
              <w:rPr>
                <w:rFonts w:ascii="宋体" w:hAnsi="宋体" w:cs="宋体"/>
                <w:b/>
                <w:snapToGrid w:val="0"/>
                <w:color w:val="auto"/>
                <w:highlight w:val="none"/>
                <w:lang w:val="zh-CN"/>
              </w:rPr>
            </w:pPr>
            <w:r>
              <w:rPr>
                <w:rFonts w:hint="eastAsia" w:ascii="宋体" w:hAnsi="宋体" w:cs="宋体"/>
                <w:b/>
                <w:snapToGrid w:val="0"/>
                <w:color w:val="auto"/>
                <w:highlight w:val="none"/>
                <w:lang w:val="zh-CN"/>
              </w:rPr>
              <w:t>序号</w:t>
            </w:r>
          </w:p>
        </w:tc>
        <w:tc>
          <w:tcPr>
            <w:tcW w:w="1293" w:type="dxa"/>
            <w:vAlign w:val="center"/>
          </w:tcPr>
          <w:p>
            <w:pPr>
              <w:autoSpaceDE w:val="0"/>
              <w:autoSpaceDN w:val="0"/>
              <w:adjustRightInd w:val="0"/>
              <w:snapToGrid w:val="0"/>
              <w:spacing w:line="320" w:lineRule="exact"/>
              <w:jc w:val="center"/>
              <w:rPr>
                <w:rFonts w:ascii="宋体" w:hAnsi="宋体" w:cs="宋体"/>
                <w:b/>
                <w:snapToGrid w:val="0"/>
                <w:color w:val="auto"/>
                <w:highlight w:val="none"/>
                <w:lang w:val="zh-CN"/>
              </w:rPr>
            </w:pPr>
            <w:r>
              <w:rPr>
                <w:rFonts w:hint="eastAsia" w:ascii="宋体" w:hAnsi="宋体" w:cs="宋体"/>
                <w:b/>
                <w:snapToGrid w:val="0"/>
                <w:color w:val="auto"/>
                <w:highlight w:val="none"/>
                <w:lang w:val="zh-CN"/>
              </w:rPr>
              <w:t>指标项</w:t>
            </w:r>
          </w:p>
        </w:tc>
        <w:tc>
          <w:tcPr>
            <w:tcW w:w="7030" w:type="dxa"/>
            <w:vAlign w:val="center"/>
          </w:tcPr>
          <w:p>
            <w:pPr>
              <w:autoSpaceDE w:val="0"/>
              <w:autoSpaceDN w:val="0"/>
              <w:adjustRightInd w:val="0"/>
              <w:snapToGrid w:val="0"/>
              <w:spacing w:line="320" w:lineRule="exact"/>
              <w:jc w:val="center"/>
              <w:rPr>
                <w:rFonts w:ascii="宋体" w:hAnsi="宋体" w:cs="宋体"/>
                <w:b/>
                <w:snapToGrid w:val="0"/>
                <w:color w:val="auto"/>
                <w:highlight w:val="none"/>
                <w:lang w:val="zh-CN"/>
              </w:rPr>
            </w:pPr>
            <w:r>
              <w:rPr>
                <w:rFonts w:hint="eastAsia" w:ascii="宋体" w:hAnsi="宋体" w:cs="宋体"/>
                <w:b/>
                <w:snapToGrid w:val="0"/>
                <w:color w:val="auto"/>
                <w:highlight w:val="none"/>
                <w:lang w:val="zh-CN"/>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1</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最高限价</w:t>
            </w:r>
          </w:p>
        </w:tc>
        <w:tc>
          <w:tcPr>
            <w:tcW w:w="7030" w:type="dxa"/>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b/>
                <w:bCs/>
                <w:snapToGrid w:val="0"/>
                <w:color w:val="auto"/>
                <w:szCs w:val="21"/>
                <w:highlight w:val="none"/>
              </w:rPr>
              <w:t>3</w:t>
            </w:r>
            <w:r>
              <w:rPr>
                <w:rFonts w:ascii="宋体" w:hAnsi="宋体" w:cs="宋体"/>
                <w:b/>
                <w:bCs/>
                <w:snapToGrid w:val="0"/>
                <w:color w:val="auto"/>
                <w:szCs w:val="21"/>
                <w:highlight w:val="none"/>
              </w:rPr>
              <w:t>9.8</w:t>
            </w:r>
            <w:r>
              <w:rPr>
                <w:rFonts w:hint="eastAsia" w:ascii="宋体" w:hAnsi="宋体" w:cs="宋体"/>
                <w:b/>
                <w:bCs/>
                <w:snapToGrid w:val="0"/>
                <w:color w:val="auto"/>
                <w:szCs w:val="21"/>
                <w:highlight w:val="none"/>
                <w:lang w:val="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2</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en-US" w:eastAsia="zh-CN"/>
              </w:rPr>
              <w:t>交 货 期</w:t>
            </w:r>
          </w:p>
        </w:tc>
        <w:tc>
          <w:tcPr>
            <w:tcW w:w="7030" w:type="dxa"/>
            <w:vAlign w:val="top"/>
          </w:tcPr>
          <w:p>
            <w:pPr>
              <w:tabs>
                <w:tab w:val="left" w:pos="2270"/>
                <w:tab w:val="center" w:pos="3467"/>
              </w:tabs>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iCs/>
                <w:snapToGrid w:val="0"/>
                <w:color w:val="auto"/>
                <w:szCs w:val="21"/>
                <w:highlight w:val="none"/>
                <w:lang w:val="en-US" w:eastAsia="zh-CN"/>
              </w:rPr>
              <w:t>15日历天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3</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服务标准/</w:t>
            </w:r>
          </w:p>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售后服务要求</w:t>
            </w:r>
          </w:p>
        </w:tc>
        <w:tc>
          <w:tcPr>
            <w:tcW w:w="7030" w:type="dxa"/>
          </w:tcPr>
          <w:p>
            <w:pPr>
              <w:autoSpaceDE w:val="0"/>
              <w:autoSpaceDN w:val="0"/>
              <w:adjustRightInd w:val="0"/>
              <w:snapToGrid w:val="0"/>
              <w:spacing w:line="320" w:lineRule="exact"/>
              <w:rPr>
                <w:rFonts w:ascii="宋体" w:hAnsi="宋体" w:cs="宋体"/>
                <w:iCs/>
                <w:snapToGrid w:val="0"/>
                <w:color w:val="auto"/>
                <w:szCs w:val="21"/>
                <w:highlight w:val="none"/>
                <w:lang w:val="zh-CN"/>
              </w:rPr>
            </w:pPr>
            <w:r>
              <w:rPr>
                <w:rFonts w:hint="eastAsia" w:ascii="宋体" w:hAnsi="宋体" w:cs="宋体"/>
                <w:iCs/>
                <w:snapToGrid w:val="0"/>
                <w:color w:val="auto"/>
                <w:szCs w:val="21"/>
                <w:highlight w:val="none"/>
                <w:lang w:val="zh-CN"/>
              </w:rPr>
              <w:t>供应商提供免费二年原厂运行维保服务，包含且不限商品的业务培训、版本升级、题库更新、故障解决等。二年履约期结束后，供应商可以提供收费运维服务具体金额双方友好协商，若产品有版本升级收取成本费。</w:t>
            </w:r>
          </w:p>
          <w:p>
            <w:pPr>
              <w:autoSpaceDE w:val="0"/>
              <w:autoSpaceDN w:val="0"/>
              <w:adjustRightInd w:val="0"/>
              <w:snapToGrid w:val="0"/>
              <w:spacing w:line="320" w:lineRule="exact"/>
              <w:rPr>
                <w:rFonts w:ascii="宋体" w:hAnsi="宋体" w:cs="宋体"/>
                <w:snapToGrid w:val="0"/>
                <w:color w:val="auto"/>
                <w:szCs w:val="21"/>
                <w:highlight w:val="none"/>
                <w:lang w:val="zh-CN"/>
              </w:rPr>
            </w:pPr>
            <w:r>
              <w:rPr>
                <w:rFonts w:hint="eastAsia" w:ascii="宋体" w:hAnsi="宋体" w:cs="宋体"/>
                <w:iCs/>
                <w:snapToGrid w:val="0"/>
                <w:color w:val="auto"/>
                <w:szCs w:val="21"/>
                <w:highlight w:val="none"/>
                <w:lang w:val="zh-CN"/>
              </w:rPr>
              <w:t>供应商保证所供商品在二年履约期中发生故障时，最迟在贰个工作日内修复，必要时采取临时调换等措施，以保证采购方的正常工作。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4</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验收标准</w:t>
            </w:r>
          </w:p>
        </w:tc>
        <w:tc>
          <w:tcPr>
            <w:tcW w:w="7030" w:type="dxa"/>
            <w:vAlign w:val="center"/>
          </w:tcPr>
          <w:p>
            <w:pPr>
              <w:autoSpaceDE w:val="0"/>
              <w:autoSpaceDN w:val="0"/>
              <w:adjustRightInd w:val="0"/>
              <w:snapToGrid w:val="0"/>
              <w:spacing w:line="320" w:lineRule="exact"/>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符合上述技术要求且正常运行。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5</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付款方式</w:t>
            </w:r>
          </w:p>
        </w:tc>
        <w:tc>
          <w:tcPr>
            <w:tcW w:w="7030" w:type="dxa"/>
          </w:tcPr>
          <w:p>
            <w:pPr>
              <w:autoSpaceDE w:val="0"/>
              <w:autoSpaceDN w:val="0"/>
              <w:adjustRightInd w:val="0"/>
              <w:snapToGrid w:val="0"/>
              <w:spacing w:line="320" w:lineRule="exact"/>
              <w:rPr>
                <w:rFonts w:ascii="宋体" w:hAnsi="宋体" w:cs="宋体"/>
                <w:iCs/>
                <w:snapToGrid w:val="0"/>
                <w:color w:val="auto"/>
                <w:szCs w:val="21"/>
                <w:highlight w:val="none"/>
                <w:lang w:val="zh-CN"/>
              </w:rPr>
            </w:pPr>
            <w:r>
              <w:rPr>
                <w:rFonts w:hint="eastAsia" w:ascii="宋体" w:hAnsi="宋体" w:eastAsia="宋体" w:cs="宋体"/>
                <w:iCs/>
                <w:snapToGrid w:val="0"/>
                <w:color w:val="auto"/>
                <w:szCs w:val="21"/>
                <w:highlight w:val="none"/>
                <w:lang w:val="zh-CN"/>
              </w:rPr>
              <w:t>双方盖章合同生效，合同生效5日内甲方给乙方支付30%预付款，货到甲方现场7日内，甲方给乙方付至合同金额的80%，安装调试完</w:t>
            </w:r>
            <w:r>
              <w:rPr>
                <w:rFonts w:hint="eastAsia" w:ascii="宋体" w:hAnsi="宋体" w:eastAsia="宋体" w:cs="宋体"/>
                <w:iCs/>
                <w:snapToGrid w:val="0"/>
                <w:color w:val="auto"/>
                <w:szCs w:val="21"/>
                <w:highlight w:val="none"/>
                <w:lang w:val="en-US" w:eastAsia="zh-CN"/>
              </w:rPr>
              <w:t>成后并通过校方组织技术人员验收合格后付清余款</w:t>
            </w:r>
            <w:r>
              <w:rPr>
                <w:rFonts w:hint="eastAsia" w:ascii="宋体" w:hAnsi="宋体" w:eastAsia="宋体" w:cs="宋体"/>
                <w:iCs/>
                <w:snapToGrid w:val="0"/>
                <w:color w:val="auto"/>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6</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拟采用</w:t>
            </w:r>
          </w:p>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采购方式</w:t>
            </w:r>
          </w:p>
        </w:tc>
        <w:tc>
          <w:tcPr>
            <w:tcW w:w="7030" w:type="dxa"/>
            <w:vAlign w:val="center"/>
          </w:tcPr>
          <w:p>
            <w:pPr>
              <w:autoSpaceDE w:val="0"/>
              <w:autoSpaceDN w:val="0"/>
              <w:adjustRightInd w:val="0"/>
              <w:snapToGrid w:val="0"/>
              <w:spacing w:line="320" w:lineRule="exact"/>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委托代理采购，竞争性谈判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7</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供应商</w:t>
            </w:r>
          </w:p>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资质</w:t>
            </w:r>
          </w:p>
        </w:tc>
        <w:tc>
          <w:tcPr>
            <w:tcW w:w="7030" w:type="dxa"/>
            <w:vAlign w:val="center"/>
          </w:tcPr>
          <w:p>
            <w:pPr>
              <w:numPr>
                <w:ilvl w:val="0"/>
                <w:numId w:val="0"/>
              </w:numPr>
              <w:outlineLvl w:val="0"/>
              <w:rPr>
                <w:rFonts w:hint="eastAsia" w:ascii="宋体" w:hAnsi="宋体" w:eastAsia="宋体" w:cs="宋体"/>
                <w:color w:val="auto"/>
                <w:sz w:val="24"/>
                <w:szCs w:val="24"/>
                <w:highlight w:val="none"/>
                <w:lang w:val="en-US" w:eastAsia="zh-CN"/>
              </w:rPr>
            </w:pPr>
            <w:r>
              <w:rPr>
                <w:rFonts w:hint="eastAsia" w:ascii="宋体" w:hAnsi="宋体" w:cs="宋体"/>
                <w:snapToGrid w:val="0"/>
                <w:color w:val="auto"/>
                <w:szCs w:val="21"/>
                <w:highlight w:val="none"/>
                <w:lang w:val="en-US" w:eastAsia="zh-CN"/>
              </w:rPr>
              <w:t>1.</w:t>
            </w:r>
            <w:r>
              <w:rPr>
                <w:rFonts w:hint="eastAsia" w:ascii="宋体" w:hAnsi="宋体" w:cs="宋体"/>
                <w:snapToGrid w:val="0"/>
                <w:color w:val="auto"/>
                <w:szCs w:val="21"/>
                <w:highlight w:val="none"/>
                <w:lang w:val="zh-CN"/>
              </w:rPr>
              <w:t>具备《中华人民共和国政府采购法》第二十二条第一款规定的6项条件（按要求提供投标声明及承诺书）；</w:t>
            </w:r>
            <w:r>
              <w:rPr>
                <w:rFonts w:ascii="宋体" w:hAnsi="宋体" w:cs="宋体"/>
                <w:snapToGrid w:val="0"/>
                <w:color w:val="auto"/>
                <w:szCs w:val="21"/>
                <w:highlight w:val="none"/>
                <w:lang w:val="zh-CN"/>
              </w:rPr>
              <w:br w:type="textWrapping"/>
            </w:r>
            <w:r>
              <w:rPr>
                <w:rFonts w:hint="eastAsia" w:ascii="宋体" w:hAnsi="宋体" w:cs="宋体"/>
                <w:snapToGrid w:val="0"/>
                <w:color w:val="auto"/>
                <w:szCs w:val="21"/>
                <w:highlight w:val="none"/>
                <w:lang w:val="zh-CN"/>
              </w:rPr>
              <w:t>2</w:t>
            </w:r>
            <w:r>
              <w:rPr>
                <w:rFonts w:ascii="宋体" w:hAnsi="宋体" w:cs="宋体"/>
                <w:snapToGrid w:val="0"/>
                <w:color w:val="auto"/>
                <w:szCs w:val="21"/>
                <w:highlight w:val="none"/>
                <w:lang w:val="zh-CN"/>
              </w:rPr>
              <w:t>.</w:t>
            </w:r>
            <w:r>
              <w:rPr>
                <w:rFonts w:hint="eastAsia" w:ascii="宋体" w:hAnsi="宋体" w:cs="宋体"/>
                <w:snapToGrid w:val="0"/>
                <w:color w:val="auto"/>
                <w:szCs w:val="21"/>
                <w:highlight w:val="none"/>
                <w:lang w:val="zh-CN"/>
              </w:rPr>
              <w:t>落实政府采购政策需满足的资格要求：</w:t>
            </w:r>
            <w:r>
              <w:rPr>
                <w:rFonts w:hint="eastAsia" w:ascii="宋体" w:hAnsi="宋体" w:eastAsia="宋体" w:cs="宋体"/>
                <w:color w:val="auto"/>
                <w:sz w:val="24"/>
                <w:szCs w:val="24"/>
                <w:highlight w:val="none"/>
                <w:lang w:val="en-US" w:eastAsia="zh-CN"/>
              </w:rPr>
              <w:t>此项目属于专门面向中小微企业采购的项目，供应商所提供的货物全部由符合政策要求的中小企业制造，供应商提供的货物的制造商应全部为中小微企业、监狱企业、残疾人福利性单位；</w:t>
            </w:r>
          </w:p>
          <w:p>
            <w:pPr>
              <w:numPr>
                <w:ilvl w:val="0"/>
                <w:numId w:val="0"/>
              </w:numPr>
              <w:outlineLvl w:val="0"/>
              <w:rPr>
                <w:rFonts w:ascii="宋体" w:hAnsi="宋体" w:cs="宋体"/>
                <w:snapToGrid w:val="0"/>
                <w:color w:val="auto"/>
                <w:szCs w:val="21"/>
                <w:highlight w:val="none"/>
                <w:lang w:val="zh-CN"/>
              </w:rPr>
            </w:pPr>
            <w:r>
              <w:rPr>
                <w:rFonts w:hint="eastAsia" w:ascii="宋体" w:hAnsi="宋体" w:cs="宋体"/>
                <w:b/>
                <w:color w:val="auto"/>
                <w:szCs w:val="24"/>
                <w:highlight w:val="none"/>
                <w:lang w:val="en-US" w:eastAsia="zh-CN"/>
              </w:rPr>
              <w:t>3.</w:t>
            </w:r>
            <w:r>
              <w:rPr>
                <w:rFonts w:hint="eastAsia" w:ascii="宋体" w:hAnsi="宋体" w:cs="宋体"/>
                <w:b/>
                <w:color w:val="auto"/>
                <w:szCs w:val="24"/>
                <w:highlight w:val="none"/>
              </w:rPr>
              <w:t>供应商的特殊要求：无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8</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合同履约时间、地点</w:t>
            </w:r>
          </w:p>
        </w:tc>
        <w:tc>
          <w:tcPr>
            <w:tcW w:w="7030" w:type="dxa"/>
            <w:vAlign w:val="center"/>
          </w:tcPr>
          <w:p>
            <w:pPr>
              <w:autoSpaceDE w:val="0"/>
              <w:autoSpaceDN w:val="0"/>
              <w:adjustRightInd w:val="0"/>
              <w:snapToGrid w:val="0"/>
              <w:spacing w:line="320" w:lineRule="exact"/>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乙方在合同签订后</w:t>
            </w:r>
            <w:r>
              <w:rPr>
                <w:rFonts w:hint="eastAsia" w:ascii="宋体" w:hAnsi="宋体" w:cs="宋体"/>
                <w:snapToGrid w:val="0"/>
                <w:color w:val="auto"/>
                <w:szCs w:val="21"/>
                <w:highlight w:val="none"/>
                <w:lang w:val="en-US" w:eastAsia="zh-CN"/>
              </w:rPr>
              <w:t>15日历天</w:t>
            </w:r>
            <w:r>
              <w:rPr>
                <w:rFonts w:hint="eastAsia" w:ascii="宋体" w:hAnsi="宋体" w:cs="宋体"/>
                <w:snapToGrid w:val="0"/>
                <w:color w:val="auto"/>
                <w:szCs w:val="21"/>
                <w:highlight w:val="none"/>
                <w:lang w:val="zh-CN"/>
              </w:rPr>
              <w:t>，完成产品交付。</w:t>
            </w:r>
          </w:p>
          <w:p>
            <w:pPr>
              <w:autoSpaceDE w:val="0"/>
              <w:autoSpaceDN w:val="0"/>
              <w:adjustRightInd w:val="0"/>
              <w:snapToGrid w:val="0"/>
              <w:spacing w:line="320" w:lineRule="exact"/>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地点：江苏省</w:t>
            </w:r>
            <w:r>
              <w:rPr>
                <w:rFonts w:hint="eastAsia" w:ascii="宋体" w:hAnsi="宋体" w:cs="宋体"/>
                <w:snapToGrid w:val="0"/>
                <w:color w:val="auto"/>
                <w:szCs w:val="21"/>
                <w:highlight w:val="none"/>
              </w:rPr>
              <w:t>邳州中等专业</w:t>
            </w:r>
            <w:r>
              <w:rPr>
                <w:rFonts w:hint="eastAsia" w:ascii="宋体" w:hAnsi="宋体" w:cs="宋体"/>
                <w:snapToGrid w:val="0"/>
                <w:color w:val="auto"/>
                <w:szCs w:val="21"/>
                <w:highlight w:val="none"/>
                <w:lang w:val="zh-CN"/>
              </w:rPr>
              <w:t>学校，</w:t>
            </w:r>
            <w:r>
              <w:rPr>
                <w:rFonts w:hint="eastAsia" w:ascii="宋体" w:hAnsi="宋体" w:cs="宋体"/>
                <w:snapToGrid w:val="0"/>
                <w:color w:val="auto"/>
                <w:szCs w:val="21"/>
                <w:highlight w:val="none"/>
              </w:rPr>
              <w:t>江苏省徐州市邳州市辽河路与陇海大道交岔口东北侧</w:t>
            </w:r>
            <w:r>
              <w:rPr>
                <w:rFonts w:hint="eastAsia" w:ascii="宋体" w:hAnsi="宋体" w:cs="宋体"/>
                <w:snapToGrid w:val="0"/>
                <w:color w:val="auto"/>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9</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服务期限</w:t>
            </w:r>
          </w:p>
        </w:tc>
        <w:tc>
          <w:tcPr>
            <w:tcW w:w="7030"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lang w:val="zh-CN"/>
              </w:rPr>
              <w:t>本项目服务期限为</w:t>
            </w:r>
            <w:r>
              <w:rPr>
                <w:rFonts w:ascii="宋体" w:hAnsi="宋体" w:cs="宋体"/>
                <w:snapToGrid w:val="0"/>
                <w:color w:val="auto"/>
                <w:szCs w:val="21"/>
                <w:highlight w:val="none"/>
                <w:lang w:val="zh-CN"/>
              </w:rPr>
              <w:t>2</w:t>
            </w:r>
            <w:r>
              <w:rPr>
                <w:rFonts w:hint="eastAsia" w:ascii="宋体" w:hAnsi="宋体" w:cs="宋体"/>
                <w:snapToGrid w:val="0"/>
                <w:color w:val="auto"/>
                <w:szCs w:val="21"/>
                <w:highlight w:val="none"/>
                <w:lang w:val="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10</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合同条款</w:t>
            </w:r>
          </w:p>
        </w:tc>
        <w:tc>
          <w:tcPr>
            <w:tcW w:w="7030" w:type="dxa"/>
          </w:tcPr>
          <w:p>
            <w:pPr>
              <w:autoSpaceDE w:val="0"/>
              <w:autoSpaceDN w:val="0"/>
              <w:adjustRightInd w:val="0"/>
              <w:snapToGrid w:val="0"/>
              <w:spacing w:line="276" w:lineRule="auto"/>
              <w:ind w:firstLine="480" w:firstLineChars="200"/>
              <w:rPr>
                <w:rFonts w:ascii="宋体" w:hAnsi="宋体" w:cs="宋体"/>
                <w:snapToGrid w:val="0"/>
                <w:color w:val="auto"/>
                <w:szCs w:val="21"/>
                <w:highlight w:val="none"/>
                <w:lang w:val="zh-CN"/>
              </w:rPr>
            </w:pPr>
            <w:r>
              <w:rPr>
                <w:rFonts w:hint="eastAsia" w:ascii="宋体" w:hAnsi="宋体" w:cs="宋体"/>
                <w:iCs/>
                <w:snapToGrid w:val="0"/>
                <w:color w:val="auto"/>
                <w:szCs w:val="21"/>
                <w:highlight w:val="none"/>
                <w:lang w:val="zh-CN"/>
              </w:rPr>
              <w:t>主要包含采购商品清单、质量保证、交货时间地点、售后服务、验收、履约保证金、付款方式、违约责任等内容。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其它要求</w:t>
            </w:r>
          </w:p>
        </w:tc>
        <w:tc>
          <w:tcPr>
            <w:tcW w:w="7030" w:type="dxa"/>
          </w:tcPr>
          <w:p>
            <w:pPr>
              <w:autoSpaceDE w:val="0"/>
              <w:autoSpaceDN w:val="0"/>
              <w:adjustRightInd w:val="0"/>
              <w:snapToGrid w:val="0"/>
              <w:spacing w:line="276" w:lineRule="auto"/>
              <w:rPr>
                <w:rFonts w:ascii="宋体" w:hAnsi="宋体" w:cs="宋体"/>
                <w:snapToGrid w:val="0"/>
                <w:color w:val="auto"/>
                <w:szCs w:val="21"/>
                <w:highlight w:val="none"/>
              </w:rPr>
            </w:pPr>
          </w:p>
        </w:tc>
      </w:tr>
    </w:tbl>
    <w:p>
      <w:pPr>
        <w:pStyle w:val="9"/>
        <w:ind w:firstLine="480" w:firstLineChars="200"/>
        <w:rPr>
          <w:rFonts w:ascii="宋体" w:hAnsi="宋体" w:eastAsia="宋体" w:cs="宋体"/>
          <w:color w:val="auto"/>
          <w:sz w:val="24"/>
          <w:szCs w:val="21"/>
          <w:highlight w:val="none"/>
        </w:rPr>
      </w:pPr>
    </w:p>
    <w:sectPr>
      <w:footerReference r:id="rId3" w:type="default"/>
      <w:pgSz w:w="11906" w:h="16838"/>
      <w:pgMar w:top="1417" w:right="1466" w:bottom="1417" w:left="1560" w:header="851" w:footer="992" w:gutter="0"/>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微软简楷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l9EKuywEAAJcDAAAOAAAAAAAAAAEAIAAAACIBAABkcnMv&#10;ZTJvRG9jLnhtbFBLBQYAAAAABgAGAFkBAABfBQAAAAA=&#10;">
              <v:fill on="f" focussize="0,0"/>
              <v:stroke on="f" weight="1.2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56"/>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671968C8"/>
    <w:multiLevelType w:val="multilevel"/>
    <w:tmpl w:val="671968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iY2M2ZmVkYmIzMjMxNjhmODRiOGE5YjMyN2U3YzcifQ=="/>
    <w:docVar w:name="KSO_WPS_MARK_KEY" w:val="f19b05ed-f07e-4ff0-bd9d-145c55bf2c5d"/>
  </w:docVars>
  <w:rsids>
    <w:rsidRoot w:val="00172A27"/>
    <w:rsid w:val="00014532"/>
    <w:rsid w:val="00017B49"/>
    <w:rsid w:val="00021B72"/>
    <w:rsid w:val="00024F00"/>
    <w:rsid w:val="00036290"/>
    <w:rsid w:val="000679EC"/>
    <w:rsid w:val="0009603D"/>
    <w:rsid w:val="000A044C"/>
    <w:rsid w:val="000A0BC9"/>
    <w:rsid w:val="000A652C"/>
    <w:rsid w:val="000B31DF"/>
    <w:rsid w:val="000C2575"/>
    <w:rsid w:val="000D0078"/>
    <w:rsid w:val="000D5FAE"/>
    <w:rsid w:val="000D7DCB"/>
    <w:rsid w:val="000D7EC0"/>
    <w:rsid w:val="000E3CDA"/>
    <w:rsid w:val="000F1E77"/>
    <w:rsid w:val="000F2521"/>
    <w:rsid w:val="000F65B9"/>
    <w:rsid w:val="00133C91"/>
    <w:rsid w:val="00166F9E"/>
    <w:rsid w:val="00172A27"/>
    <w:rsid w:val="00172F14"/>
    <w:rsid w:val="0018305D"/>
    <w:rsid w:val="00186847"/>
    <w:rsid w:val="001904BD"/>
    <w:rsid w:val="00191E52"/>
    <w:rsid w:val="00196EBE"/>
    <w:rsid w:val="001A3A87"/>
    <w:rsid w:val="001C478D"/>
    <w:rsid w:val="001D18BD"/>
    <w:rsid w:val="001D5625"/>
    <w:rsid w:val="0021245C"/>
    <w:rsid w:val="00234F3C"/>
    <w:rsid w:val="0023561C"/>
    <w:rsid w:val="00247180"/>
    <w:rsid w:val="002504BA"/>
    <w:rsid w:val="00250ECA"/>
    <w:rsid w:val="00251209"/>
    <w:rsid w:val="0025473A"/>
    <w:rsid w:val="00264EA9"/>
    <w:rsid w:val="0027082C"/>
    <w:rsid w:val="002735B0"/>
    <w:rsid w:val="002A4619"/>
    <w:rsid w:val="002B1D4B"/>
    <w:rsid w:val="002B4DF0"/>
    <w:rsid w:val="002C7CAB"/>
    <w:rsid w:val="002D23E5"/>
    <w:rsid w:val="002E5D10"/>
    <w:rsid w:val="0032062C"/>
    <w:rsid w:val="00322CE7"/>
    <w:rsid w:val="00323221"/>
    <w:rsid w:val="003256A2"/>
    <w:rsid w:val="003805C1"/>
    <w:rsid w:val="0038761E"/>
    <w:rsid w:val="0039172D"/>
    <w:rsid w:val="003A0C1D"/>
    <w:rsid w:val="003A4CB4"/>
    <w:rsid w:val="003C15CC"/>
    <w:rsid w:val="00406B78"/>
    <w:rsid w:val="00441800"/>
    <w:rsid w:val="004523CB"/>
    <w:rsid w:val="0046387F"/>
    <w:rsid w:val="00466E83"/>
    <w:rsid w:val="004765FD"/>
    <w:rsid w:val="00481F73"/>
    <w:rsid w:val="004A448E"/>
    <w:rsid w:val="004A547E"/>
    <w:rsid w:val="004B2F01"/>
    <w:rsid w:val="004C560E"/>
    <w:rsid w:val="004D443D"/>
    <w:rsid w:val="004D5328"/>
    <w:rsid w:val="004E095F"/>
    <w:rsid w:val="004E1C69"/>
    <w:rsid w:val="004E2909"/>
    <w:rsid w:val="004F42BC"/>
    <w:rsid w:val="004F70B0"/>
    <w:rsid w:val="00507BC5"/>
    <w:rsid w:val="00522059"/>
    <w:rsid w:val="00534BAD"/>
    <w:rsid w:val="00535B7D"/>
    <w:rsid w:val="005465FC"/>
    <w:rsid w:val="00550B34"/>
    <w:rsid w:val="0055134D"/>
    <w:rsid w:val="005528D1"/>
    <w:rsid w:val="0055292E"/>
    <w:rsid w:val="005A6574"/>
    <w:rsid w:val="005C047D"/>
    <w:rsid w:val="005C1399"/>
    <w:rsid w:val="005C2B51"/>
    <w:rsid w:val="005D1BB8"/>
    <w:rsid w:val="005D6E58"/>
    <w:rsid w:val="005F6108"/>
    <w:rsid w:val="00601F3E"/>
    <w:rsid w:val="00602E13"/>
    <w:rsid w:val="00604D90"/>
    <w:rsid w:val="00635878"/>
    <w:rsid w:val="00670B88"/>
    <w:rsid w:val="00673155"/>
    <w:rsid w:val="006766D6"/>
    <w:rsid w:val="00676EAF"/>
    <w:rsid w:val="00697F5E"/>
    <w:rsid w:val="006B766A"/>
    <w:rsid w:val="006C747E"/>
    <w:rsid w:val="006D1AEB"/>
    <w:rsid w:val="006D3927"/>
    <w:rsid w:val="006E32C4"/>
    <w:rsid w:val="006E45D9"/>
    <w:rsid w:val="00705571"/>
    <w:rsid w:val="00727DC7"/>
    <w:rsid w:val="00742B74"/>
    <w:rsid w:val="00745DB4"/>
    <w:rsid w:val="0076615C"/>
    <w:rsid w:val="007805CE"/>
    <w:rsid w:val="00785D19"/>
    <w:rsid w:val="00791695"/>
    <w:rsid w:val="007A18A3"/>
    <w:rsid w:val="007B0A32"/>
    <w:rsid w:val="007B0D6F"/>
    <w:rsid w:val="007B7DAA"/>
    <w:rsid w:val="007D7D80"/>
    <w:rsid w:val="007E40ED"/>
    <w:rsid w:val="007E5328"/>
    <w:rsid w:val="007F40B6"/>
    <w:rsid w:val="00801316"/>
    <w:rsid w:val="008032A3"/>
    <w:rsid w:val="00807CA3"/>
    <w:rsid w:val="0081287C"/>
    <w:rsid w:val="00816DF4"/>
    <w:rsid w:val="00845338"/>
    <w:rsid w:val="00883599"/>
    <w:rsid w:val="00885D7F"/>
    <w:rsid w:val="008C0D74"/>
    <w:rsid w:val="008D4704"/>
    <w:rsid w:val="008E41E7"/>
    <w:rsid w:val="008E480D"/>
    <w:rsid w:val="00901D8B"/>
    <w:rsid w:val="00922002"/>
    <w:rsid w:val="00927AB1"/>
    <w:rsid w:val="00953C65"/>
    <w:rsid w:val="00964CE6"/>
    <w:rsid w:val="009717C7"/>
    <w:rsid w:val="009832A7"/>
    <w:rsid w:val="0099058B"/>
    <w:rsid w:val="00997ED1"/>
    <w:rsid w:val="009A0589"/>
    <w:rsid w:val="009A6DE6"/>
    <w:rsid w:val="009B46EF"/>
    <w:rsid w:val="009C2877"/>
    <w:rsid w:val="009E40CB"/>
    <w:rsid w:val="009E4AC4"/>
    <w:rsid w:val="009E64E8"/>
    <w:rsid w:val="009E6CBA"/>
    <w:rsid w:val="009F75BB"/>
    <w:rsid w:val="00A031B8"/>
    <w:rsid w:val="00A0332B"/>
    <w:rsid w:val="00A04E52"/>
    <w:rsid w:val="00A12A87"/>
    <w:rsid w:val="00A201BC"/>
    <w:rsid w:val="00A35FE3"/>
    <w:rsid w:val="00A431BC"/>
    <w:rsid w:val="00A43795"/>
    <w:rsid w:val="00A57963"/>
    <w:rsid w:val="00A75959"/>
    <w:rsid w:val="00A77994"/>
    <w:rsid w:val="00A8282F"/>
    <w:rsid w:val="00A8795B"/>
    <w:rsid w:val="00AB6B79"/>
    <w:rsid w:val="00AD5920"/>
    <w:rsid w:val="00AE510C"/>
    <w:rsid w:val="00AF0AB5"/>
    <w:rsid w:val="00AF7E5F"/>
    <w:rsid w:val="00B20F6E"/>
    <w:rsid w:val="00B356E1"/>
    <w:rsid w:val="00B43AA6"/>
    <w:rsid w:val="00B440A2"/>
    <w:rsid w:val="00B44AE0"/>
    <w:rsid w:val="00B44D16"/>
    <w:rsid w:val="00B53CD2"/>
    <w:rsid w:val="00B57CF2"/>
    <w:rsid w:val="00B81DA9"/>
    <w:rsid w:val="00B90418"/>
    <w:rsid w:val="00B976D6"/>
    <w:rsid w:val="00BB357E"/>
    <w:rsid w:val="00BB4B00"/>
    <w:rsid w:val="00BE1528"/>
    <w:rsid w:val="00BE1653"/>
    <w:rsid w:val="00BF27C6"/>
    <w:rsid w:val="00BF4B00"/>
    <w:rsid w:val="00C1430A"/>
    <w:rsid w:val="00C16407"/>
    <w:rsid w:val="00C202DD"/>
    <w:rsid w:val="00C22813"/>
    <w:rsid w:val="00C265D1"/>
    <w:rsid w:val="00C26F49"/>
    <w:rsid w:val="00C44B96"/>
    <w:rsid w:val="00C4606D"/>
    <w:rsid w:val="00C61C57"/>
    <w:rsid w:val="00C63757"/>
    <w:rsid w:val="00C63773"/>
    <w:rsid w:val="00C76C79"/>
    <w:rsid w:val="00C834DB"/>
    <w:rsid w:val="00C83A24"/>
    <w:rsid w:val="00C96EE4"/>
    <w:rsid w:val="00CB0916"/>
    <w:rsid w:val="00CB70E9"/>
    <w:rsid w:val="00CC4C97"/>
    <w:rsid w:val="00CD4470"/>
    <w:rsid w:val="00CD5703"/>
    <w:rsid w:val="00CE4821"/>
    <w:rsid w:val="00CE6908"/>
    <w:rsid w:val="00CF48E1"/>
    <w:rsid w:val="00CF6B8A"/>
    <w:rsid w:val="00D10967"/>
    <w:rsid w:val="00D17852"/>
    <w:rsid w:val="00D378C2"/>
    <w:rsid w:val="00D4136D"/>
    <w:rsid w:val="00D50BB2"/>
    <w:rsid w:val="00D5776F"/>
    <w:rsid w:val="00D62229"/>
    <w:rsid w:val="00D73981"/>
    <w:rsid w:val="00D75393"/>
    <w:rsid w:val="00D8224E"/>
    <w:rsid w:val="00D823E3"/>
    <w:rsid w:val="00D962F1"/>
    <w:rsid w:val="00DA0089"/>
    <w:rsid w:val="00DB7D21"/>
    <w:rsid w:val="00DC5250"/>
    <w:rsid w:val="00DF096D"/>
    <w:rsid w:val="00DF0C8A"/>
    <w:rsid w:val="00DF0E06"/>
    <w:rsid w:val="00DF4377"/>
    <w:rsid w:val="00E02F27"/>
    <w:rsid w:val="00E03463"/>
    <w:rsid w:val="00E04E70"/>
    <w:rsid w:val="00E05FC6"/>
    <w:rsid w:val="00E1359F"/>
    <w:rsid w:val="00E13B02"/>
    <w:rsid w:val="00E225C4"/>
    <w:rsid w:val="00E316D0"/>
    <w:rsid w:val="00E54D62"/>
    <w:rsid w:val="00E77267"/>
    <w:rsid w:val="00E81E39"/>
    <w:rsid w:val="00E840AD"/>
    <w:rsid w:val="00EB4573"/>
    <w:rsid w:val="00EC6776"/>
    <w:rsid w:val="00EC6B19"/>
    <w:rsid w:val="00F04BE3"/>
    <w:rsid w:val="00F13A0D"/>
    <w:rsid w:val="00F1789C"/>
    <w:rsid w:val="00F21EC9"/>
    <w:rsid w:val="00F470DB"/>
    <w:rsid w:val="00F820E9"/>
    <w:rsid w:val="00F87B1D"/>
    <w:rsid w:val="00FB12E7"/>
    <w:rsid w:val="00FD045B"/>
    <w:rsid w:val="00FE0C4F"/>
    <w:rsid w:val="00FE3A0F"/>
    <w:rsid w:val="00FE642D"/>
    <w:rsid w:val="00FE67CB"/>
    <w:rsid w:val="00FF042C"/>
    <w:rsid w:val="00FF132E"/>
    <w:rsid w:val="00FF4A53"/>
    <w:rsid w:val="013D016B"/>
    <w:rsid w:val="01553EAC"/>
    <w:rsid w:val="016B76DA"/>
    <w:rsid w:val="01BF13A6"/>
    <w:rsid w:val="01EE66A4"/>
    <w:rsid w:val="01F06E11"/>
    <w:rsid w:val="02144BFA"/>
    <w:rsid w:val="027809B9"/>
    <w:rsid w:val="028D2FBF"/>
    <w:rsid w:val="02B32B64"/>
    <w:rsid w:val="02C75509"/>
    <w:rsid w:val="02F67802"/>
    <w:rsid w:val="02FA5B72"/>
    <w:rsid w:val="03001DCC"/>
    <w:rsid w:val="030D774D"/>
    <w:rsid w:val="032D23B8"/>
    <w:rsid w:val="033C3C53"/>
    <w:rsid w:val="035C6295"/>
    <w:rsid w:val="036F5C47"/>
    <w:rsid w:val="03881849"/>
    <w:rsid w:val="03BC5D49"/>
    <w:rsid w:val="03C72148"/>
    <w:rsid w:val="03CC68F5"/>
    <w:rsid w:val="03D54151"/>
    <w:rsid w:val="04220779"/>
    <w:rsid w:val="04353CB7"/>
    <w:rsid w:val="04495D75"/>
    <w:rsid w:val="04855147"/>
    <w:rsid w:val="049D7516"/>
    <w:rsid w:val="04B31AF4"/>
    <w:rsid w:val="04D1473A"/>
    <w:rsid w:val="04D61EAD"/>
    <w:rsid w:val="059716B5"/>
    <w:rsid w:val="05A81851"/>
    <w:rsid w:val="05BD2E47"/>
    <w:rsid w:val="05CC1CBC"/>
    <w:rsid w:val="05E24085"/>
    <w:rsid w:val="05F354CF"/>
    <w:rsid w:val="05F72D72"/>
    <w:rsid w:val="05FA4E5A"/>
    <w:rsid w:val="05FE2A0D"/>
    <w:rsid w:val="060B165B"/>
    <w:rsid w:val="062C15E4"/>
    <w:rsid w:val="06362B15"/>
    <w:rsid w:val="06463EB9"/>
    <w:rsid w:val="06D5548B"/>
    <w:rsid w:val="06D95393"/>
    <w:rsid w:val="06FD4A61"/>
    <w:rsid w:val="070E2C56"/>
    <w:rsid w:val="075D3D6E"/>
    <w:rsid w:val="07636CEE"/>
    <w:rsid w:val="076616B4"/>
    <w:rsid w:val="07782489"/>
    <w:rsid w:val="07CE0E77"/>
    <w:rsid w:val="07E960F2"/>
    <w:rsid w:val="07E9750A"/>
    <w:rsid w:val="08041008"/>
    <w:rsid w:val="08293582"/>
    <w:rsid w:val="083E1F86"/>
    <w:rsid w:val="084B6BD3"/>
    <w:rsid w:val="08964D18"/>
    <w:rsid w:val="08A81E8E"/>
    <w:rsid w:val="08A953EB"/>
    <w:rsid w:val="08BF34EA"/>
    <w:rsid w:val="08CB01CD"/>
    <w:rsid w:val="08DE7AA1"/>
    <w:rsid w:val="08F224CC"/>
    <w:rsid w:val="09652455"/>
    <w:rsid w:val="09C049FF"/>
    <w:rsid w:val="09D81C3A"/>
    <w:rsid w:val="09E27CC3"/>
    <w:rsid w:val="0A095EAE"/>
    <w:rsid w:val="0A21436D"/>
    <w:rsid w:val="0A554699"/>
    <w:rsid w:val="0A8943FF"/>
    <w:rsid w:val="0A960E3D"/>
    <w:rsid w:val="0AAB7478"/>
    <w:rsid w:val="0AC63EEB"/>
    <w:rsid w:val="0ADC3B43"/>
    <w:rsid w:val="0AE62FA8"/>
    <w:rsid w:val="0AF408A3"/>
    <w:rsid w:val="0AFE62A4"/>
    <w:rsid w:val="0B1D2727"/>
    <w:rsid w:val="0B3771E9"/>
    <w:rsid w:val="0B475C2E"/>
    <w:rsid w:val="0B7C30DD"/>
    <w:rsid w:val="0BA561C5"/>
    <w:rsid w:val="0BBB0ACD"/>
    <w:rsid w:val="0BE2658C"/>
    <w:rsid w:val="0C0176DC"/>
    <w:rsid w:val="0C0D4B25"/>
    <w:rsid w:val="0C3B0157"/>
    <w:rsid w:val="0CA535B9"/>
    <w:rsid w:val="0D0D5AED"/>
    <w:rsid w:val="0D4A445F"/>
    <w:rsid w:val="0D8717D3"/>
    <w:rsid w:val="0D936E6E"/>
    <w:rsid w:val="0DF1543E"/>
    <w:rsid w:val="0E325C09"/>
    <w:rsid w:val="0E540C10"/>
    <w:rsid w:val="0E5713F9"/>
    <w:rsid w:val="0E822FF4"/>
    <w:rsid w:val="0EB54050"/>
    <w:rsid w:val="0F0E7940"/>
    <w:rsid w:val="0F2A5028"/>
    <w:rsid w:val="0F480C20"/>
    <w:rsid w:val="0F4C03BA"/>
    <w:rsid w:val="0F631D74"/>
    <w:rsid w:val="0F7937ED"/>
    <w:rsid w:val="0F7D5767"/>
    <w:rsid w:val="0F882027"/>
    <w:rsid w:val="0FAA3A9B"/>
    <w:rsid w:val="0FAD1483"/>
    <w:rsid w:val="10077B35"/>
    <w:rsid w:val="100F1A5B"/>
    <w:rsid w:val="106458A4"/>
    <w:rsid w:val="10BC311F"/>
    <w:rsid w:val="10D5579D"/>
    <w:rsid w:val="10D8730C"/>
    <w:rsid w:val="10DE4BE5"/>
    <w:rsid w:val="10FC0382"/>
    <w:rsid w:val="11740C7A"/>
    <w:rsid w:val="11786333"/>
    <w:rsid w:val="1184609E"/>
    <w:rsid w:val="1197075A"/>
    <w:rsid w:val="11BC6833"/>
    <w:rsid w:val="11CE540F"/>
    <w:rsid w:val="11EF29E0"/>
    <w:rsid w:val="128257D0"/>
    <w:rsid w:val="131F3D3D"/>
    <w:rsid w:val="1361143D"/>
    <w:rsid w:val="13E35118"/>
    <w:rsid w:val="13E52B7C"/>
    <w:rsid w:val="14033156"/>
    <w:rsid w:val="140753F8"/>
    <w:rsid w:val="14193604"/>
    <w:rsid w:val="141D437D"/>
    <w:rsid w:val="14667BF8"/>
    <w:rsid w:val="14AD2475"/>
    <w:rsid w:val="14D61C91"/>
    <w:rsid w:val="15C04B78"/>
    <w:rsid w:val="15DE7A08"/>
    <w:rsid w:val="15EA419E"/>
    <w:rsid w:val="15F07C33"/>
    <w:rsid w:val="16425B91"/>
    <w:rsid w:val="16622475"/>
    <w:rsid w:val="171C7BA4"/>
    <w:rsid w:val="17347B09"/>
    <w:rsid w:val="17533A51"/>
    <w:rsid w:val="17C5460C"/>
    <w:rsid w:val="17F3666C"/>
    <w:rsid w:val="18155A97"/>
    <w:rsid w:val="184F11C2"/>
    <w:rsid w:val="18653FE4"/>
    <w:rsid w:val="19091760"/>
    <w:rsid w:val="19093225"/>
    <w:rsid w:val="19273916"/>
    <w:rsid w:val="195E2876"/>
    <w:rsid w:val="197F3421"/>
    <w:rsid w:val="1996003E"/>
    <w:rsid w:val="199D1425"/>
    <w:rsid w:val="19AE51BC"/>
    <w:rsid w:val="19AF3837"/>
    <w:rsid w:val="19CB67C5"/>
    <w:rsid w:val="19F42E76"/>
    <w:rsid w:val="1A027439"/>
    <w:rsid w:val="1A2F7A9F"/>
    <w:rsid w:val="1A981A86"/>
    <w:rsid w:val="1AA3225B"/>
    <w:rsid w:val="1AB803A1"/>
    <w:rsid w:val="1AE45253"/>
    <w:rsid w:val="1AF6688A"/>
    <w:rsid w:val="1B293B21"/>
    <w:rsid w:val="1B574D0F"/>
    <w:rsid w:val="1B5C66AF"/>
    <w:rsid w:val="1B8A1294"/>
    <w:rsid w:val="1B98600F"/>
    <w:rsid w:val="1BB40831"/>
    <w:rsid w:val="1BD31DAE"/>
    <w:rsid w:val="1C1063AA"/>
    <w:rsid w:val="1C31214D"/>
    <w:rsid w:val="1C3A2544"/>
    <w:rsid w:val="1C4C1E75"/>
    <w:rsid w:val="1CD71AE0"/>
    <w:rsid w:val="1CDE0E33"/>
    <w:rsid w:val="1D2A56EF"/>
    <w:rsid w:val="1D3A7AB3"/>
    <w:rsid w:val="1D695887"/>
    <w:rsid w:val="1D862564"/>
    <w:rsid w:val="1D8F4112"/>
    <w:rsid w:val="1DB96640"/>
    <w:rsid w:val="1E605D06"/>
    <w:rsid w:val="1EDE23C2"/>
    <w:rsid w:val="1F1A503E"/>
    <w:rsid w:val="1F366229"/>
    <w:rsid w:val="1F427E9C"/>
    <w:rsid w:val="1F805E0E"/>
    <w:rsid w:val="1FF74372"/>
    <w:rsid w:val="20030F48"/>
    <w:rsid w:val="200D373C"/>
    <w:rsid w:val="2047139D"/>
    <w:rsid w:val="204A7959"/>
    <w:rsid w:val="20982E05"/>
    <w:rsid w:val="20A40CE1"/>
    <w:rsid w:val="20C14090"/>
    <w:rsid w:val="20C624FD"/>
    <w:rsid w:val="20ED053C"/>
    <w:rsid w:val="20FD0E73"/>
    <w:rsid w:val="21114CA4"/>
    <w:rsid w:val="21191424"/>
    <w:rsid w:val="211A0780"/>
    <w:rsid w:val="212840BF"/>
    <w:rsid w:val="215241DE"/>
    <w:rsid w:val="21771E96"/>
    <w:rsid w:val="21AB64FC"/>
    <w:rsid w:val="21D55E36"/>
    <w:rsid w:val="22381A79"/>
    <w:rsid w:val="225F7733"/>
    <w:rsid w:val="228C7907"/>
    <w:rsid w:val="2296454F"/>
    <w:rsid w:val="22C97907"/>
    <w:rsid w:val="22F91AFD"/>
    <w:rsid w:val="232A0330"/>
    <w:rsid w:val="232C2F38"/>
    <w:rsid w:val="23405E5E"/>
    <w:rsid w:val="234B4FD9"/>
    <w:rsid w:val="234F708B"/>
    <w:rsid w:val="236952FE"/>
    <w:rsid w:val="23C60023"/>
    <w:rsid w:val="24787AE2"/>
    <w:rsid w:val="248F647F"/>
    <w:rsid w:val="24B40756"/>
    <w:rsid w:val="24F22A13"/>
    <w:rsid w:val="25132E99"/>
    <w:rsid w:val="251E4CAB"/>
    <w:rsid w:val="25227652"/>
    <w:rsid w:val="252F737D"/>
    <w:rsid w:val="258925C3"/>
    <w:rsid w:val="258C4FF3"/>
    <w:rsid w:val="25AB74EE"/>
    <w:rsid w:val="25D81723"/>
    <w:rsid w:val="25E411E5"/>
    <w:rsid w:val="2603025F"/>
    <w:rsid w:val="261C1CCB"/>
    <w:rsid w:val="2627309B"/>
    <w:rsid w:val="263200E3"/>
    <w:rsid w:val="26337793"/>
    <w:rsid w:val="26601652"/>
    <w:rsid w:val="266D329C"/>
    <w:rsid w:val="2679680C"/>
    <w:rsid w:val="26C724B6"/>
    <w:rsid w:val="26EC10A0"/>
    <w:rsid w:val="2716560F"/>
    <w:rsid w:val="275F7E35"/>
    <w:rsid w:val="27B01A19"/>
    <w:rsid w:val="27C801CE"/>
    <w:rsid w:val="27CB6237"/>
    <w:rsid w:val="27F30730"/>
    <w:rsid w:val="27FB22FE"/>
    <w:rsid w:val="28077830"/>
    <w:rsid w:val="2827176D"/>
    <w:rsid w:val="28283F6C"/>
    <w:rsid w:val="28287CEE"/>
    <w:rsid w:val="28447E4A"/>
    <w:rsid w:val="287E1FE0"/>
    <w:rsid w:val="28BF02AC"/>
    <w:rsid w:val="28C10FB7"/>
    <w:rsid w:val="28C71149"/>
    <w:rsid w:val="28D04CFA"/>
    <w:rsid w:val="28E104CD"/>
    <w:rsid w:val="29033B39"/>
    <w:rsid w:val="29090FC0"/>
    <w:rsid w:val="291B4A9A"/>
    <w:rsid w:val="29836D9F"/>
    <w:rsid w:val="29CB4C4B"/>
    <w:rsid w:val="29CC6FD6"/>
    <w:rsid w:val="29DA3501"/>
    <w:rsid w:val="2A1A1AFC"/>
    <w:rsid w:val="2A386932"/>
    <w:rsid w:val="2A674933"/>
    <w:rsid w:val="2A90253E"/>
    <w:rsid w:val="2AC71207"/>
    <w:rsid w:val="2AC76D23"/>
    <w:rsid w:val="2B284874"/>
    <w:rsid w:val="2B562FD0"/>
    <w:rsid w:val="2B607DFD"/>
    <w:rsid w:val="2BA35436"/>
    <w:rsid w:val="2BCE4D6C"/>
    <w:rsid w:val="2C117204"/>
    <w:rsid w:val="2C251A06"/>
    <w:rsid w:val="2C332363"/>
    <w:rsid w:val="2D2F36F2"/>
    <w:rsid w:val="2D4520D2"/>
    <w:rsid w:val="2D60796E"/>
    <w:rsid w:val="2D830B21"/>
    <w:rsid w:val="2D883799"/>
    <w:rsid w:val="2DCF4F91"/>
    <w:rsid w:val="2DF439A6"/>
    <w:rsid w:val="2E166862"/>
    <w:rsid w:val="2E717347"/>
    <w:rsid w:val="2EFC30B5"/>
    <w:rsid w:val="2EFE41C9"/>
    <w:rsid w:val="2F0C5742"/>
    <w:rsid w:val="2F32136E"/>
    <w:rsid w:val="2F67006D"/>
    <w:rsid w:val="2F9F4892"/>
    <w:rsid w:val="2FC0622F"/>
    <w:rsid w:val="2FD57EE3"/>
    <w:rsid w:val="2FD818E5"/>
    <w:rsid w:val="2FF22623"/>
    <w:rsid w:val="300214FB"/>
    <w:rsid w:val="30342063"/>
    <w:rsid w:val="30347837"/>
    <w:rsid w:val="306B6BD2"/>
    <w:rsid w:val="30804696"/>
    <w:rsid w:val="308F40BE"/>
    <w:rsid w:val="30B426F8"/>
    <w:rsid w:val="30C82195"/>
    <w:rsid w:val="312A6AFB"/>
    <w:rsid w:val="3130368E"/>
    <w:rsid w:val="31633608"/>
    <w:rsid w:val="31E831D7"/>
    <w:rsid w:val="32330788"/>
    <w:rsid w:val="32846574"/>
    <w:rsid w:val="32B52D1C"/>
    <w:rsid w:val="32CB0686"/>
    <w:rsid w:val="32D250EF"/>
    <w:rsid w:val="330E6F84"/>
    <w:rsid w:val="339131A2"/>
    <w:rsid w:val="33AE0287"/>
    <w:rsid w:val="33C66573"/>
    <w:rsid w:val="3410227E"/>
    <w:rsid w:val="3424621A"/>
    <w:rsid w:val="34277B2C"/>
    <w:rsid w:val="342C62AB"/>
    <w:rsid w:val="347A0A28"/>
    <w:rsid w:val="348B26F4"/>
    <w:rsid w:val="348C0943"/>
    <w:rsid w:val="34BA04CB"/>
    <w:rsid w:val="34FD2B90"/>
    <w:rsid w:val="35266248"/>
    <w:rsid w:val="3554220F"/>
    <w:rsid w:val="356C5106"/>
    <w:rsid w:val="35975B7E"/>
    <w:rsid w:val="35AC554D"/>
    <w:rsid w:val="35CD02D7"/>
    <w:rsid w:val="35D2691D"/>
    <w:rsid w:val="35D54CFE"/>
    <w:rsid w:val="35F75772"/>
    <w:rsid w:val="360754F3"/>
    <w:rsid w:val="36293BE7"/>
    <w:rsid w:val="36450AE3"/>
    <w:rsid w:val="369B2A88"/>
    <w:rsid w:val="376F102D"/>
    <w:rsid w:val="378D2AFC"/>
    <w:rsid w:val="379710B1"/>
    <w:rsid w:val="37A64AC3"/>
    <w:rsid w:val="37AE430C"/>
    <w:rsid w:val="37D46AA1"/>
    <w:rsid w:val="37DB421D"/>
    <w:rsid w:val="37F43625"/>
    <w:rsid w:val="384F4B9C"/>
    <w:rsid w:val="38786FD4"/>
    <w:rsid w:val="388562F5"/>
    <w:rsid w:val="38A478F3"/>
    <w:rsid w:val="38A5516B"/>
    <w:rsid w:val="38EA6C82"/>
    <w:rsid w:val="391326C3"/>
    <w:rsid w:val="391F46BE"/>
    <w:rsid w:val="39A4520F"/>
    <w:rsid w:val="39A566E1"/>
    <w:rsid w:val="39A760E0"/>
    <w:rsid w:val="39E44E71"/>
    <w:rsid w:val="3A0F2798"/>
    <w:rsid w:val="3A1A2010"/>
    <w:rsid w:val="3A6009A3"/>
    <w:rsid w:val="3AC4722E"/>
    <w:rsid w:val="3AD61064"/>
    <w:rsid w:val="3AF11B9B"/>
    <w:rsid w:val="3B284A67"/>
    <w:rsid w:val="3B4B4390"/>
    <w:rsid w:val="3B5370AE"/>
    <w:rsid w:val="3B567C2E"/>
    <w:rsid w:val="3BF47EEA"/>
    <w:rsid w:val="3C236290"/>
    <w:rsid w:val="3C2E3407"/>
    <w:rsid w:val="3C381DA7"/>
    <w:rsid w:val="3C3C51BB"/>
    <w:rsid w:val="3C77250E"/>
    <w:rsid w:val="3D7725E5"/>
    <w:rsid w:val="3D803B88"/>
    <w:rsid w:val="3D804C1C"/>
    <w:rsid w:val="3DA56F35"/>
    <w:rsid w:val="3E02038A"/>
    <w:rsid w:val="3E155DE9"/>
    <w:rsid w:val="3E2128D2"/>
    <w:rsid w:val="3E3A148F"/>
    <w:rsid w:val="3ECA22D5"/>
    <w:rsid w:val="3ECD7472"/>
    <w:rsid w:val="3ED7746D"/>
    <w:rsid w:val="3EF26821"/>
    <w:rsid w:val="3EF65D19"/>
    <w:rsid w:val="3F20354C"/>
    <w:rsid w:val="3F4B1F04"/>
    <w:rsid w:val="3F4F5F14"/>
    <w:rsid w:val="3F735328"/>
    <w:rsid w:val="3F8A0D25"/>
    <w:rsid w:val="3FC57278"/>
    <w:rsid w:val="3FF24EF7"/>
    <w:rsid w:val="40371D86"/>
    <w:rsid w:val="40BC1625"/>
    <w:rsid w:val="40F53612"/>
    <w:rsid w:val="40FE68E4"/>
    <w:rsid w:val="41023A08"/>
    <w:rsid w:val="411D2BEF"/>
    <w:rsid w:val="413D645B"/>
    <w:rsid w:val="41447C4C"/>
    <w:rsid w:val="415359D6"/>
    <w:rsid w:val="417B77DD"/>
    <w:rsid w:val="41D460C9"/>
    <w:rsid w:val="41D83ED1"/>
    <w:rsid w:val="41E95F83"/>
    <w:rsid w:val="427144F6"/>
    <w:rsid w:val="43690F78"/>
    <w:rsid w:val="43717106"/>
    <w:rsid w:val="437E6F68"/>
    <w:rsid w:val="438D4489"/>
    <w:rsid w:val="43D31472"/>
    <w:rsid w:val="43D61FD7"/>
    <w:rsid w:val="43E20710"/>
    <w:rsid w:val="43E57F66"/>
    <w:rsid w:val="43EC3A33"/>
    <w:rsid w:val="440B38CA"/>
    <w:rsid w:val="441930C8"/>
    <w:rsid w:val="443F3167"/>
    <w:rsid w:val="446C53D8"/>
    <w:rsid w:val="44E75BAE"/>
    <w:rsid w:val="453523E3"/>
    <w:rsid w:val="45380485"/>
    <w:rsid w:val="456C77E1"/>
    <w:rsid w:val="45805E2E"/>
    <w:rsid w:val="45D20D81"/>
    <w:rsid w:val="45F86F2E"/>
    <w:rsid w:val="46227E92"/>
    <w:rsid w:val="46236CD8"/>
    <w:rsid w:val="467442F6"/>
    <w:rsid w:val="468E27CD"/>
    <w:rsid w:val="46922CA6"/>
    <w:rsid w:val="46924152"/>
    <w:rsid w:val="46D94182"/>
    <w:rsid w:val="476E1A48"/>
    <w:rsid w:val="479C6766"/>
    <w:rsid w:val="47B97585"/>
    <w:rsid w:val="47C85F75"/>
    <w:rsid w:val="47EA446B"/>
    <w:rsid w:val="47EC6B58"/>
    <w:rsid w:val="47FA35E1"/>
    <w:rsid w:val="47FA64CB"/>
    <w:rsid w:val="4806073F"/>
    <w:rsid w:val="48332624"/>
    <w:rsid w:val="48432AED"/>
    <w:rsid w:val="48A32BEE"/>
    <w:rsid w:val="492F554F"/>
    <w:rsid w:val="497133FE"/>
    <w:rsid w:val="498737AF"/>
    <w:rsid w:val="49B43126"/>
    <w:rsid w:val="4A257FF2"/>
    <w:rsid w:val="4A2C093E"/>
    <w:rsid w:val="4A391054"/>
    <w:rsid w:val="4A914AC0"/>
    <w:rsid w:val="4AC24438"/>
    <w:rsid w:val="4ACF70B7"/>
    <w:rsid w:val="4AD74A1B"/>
    <w:rsid w:val="4ADF68D1"/>
    <w:rsid w:val="4AEB0EE5"/>
    <w:rsid w:val="4B1414C1"/>
    <w:rsid w:val="4B2A5009"/>
    <w:rsid w:val="4B3E0AE7"/>
    <w:rsid w:val="4B3E6B8F"/>
    <w:rsid w:val="4B442751"/>
    <w:rsid w:val="4B562898"/>
    <w:rsid w:val="4B673650"/>
    <w:rsid w:val="4B8E42AD"/>
    <w:rsid w:val="4B8E48F9"/>
    <w:rsid w:val="4BCF3BFD"/>
    <w:rsid w:val="4BDA32B6"/>
    <w:rsid w:val="4C057263"/>
    <w:rsid w:val="4C0D0003"/>
    <w:rsid w:val="4C1B5299"/>
    <w:rsid w:val="4C1F7C47"/>
    <w:rsid w:val="4CA26168"/>
    <w:rsid w:val="4CB71610"/>
    <w:rsid w:val="4CE6680F"/>
    <w:rsid w:val="4D297D3C"/>
    <w:rsid w:val="4D322FD0"/>
    <w:rsid w:val="4DF531F9"/>
    <w:rsid w:val="4DF85111"/>
    <w:rsid w:val="4E2C78BB"/>
    <w:rsid w:val="4E350DE4"/>
    <w:rsid w:val="4E8816ED"/>
    <w:rsid w:val="4F3855EC"/>
    <w:rsid w:val="4F453C66"/>
    <w:rsid w:val="4F480775"/>
    <w:rsid w:val="4F9D097C"/>
    <w:rsid w:val="4FB86BF8"/>
    <w:rsid w:val="4FC41575"/>
    <w:rsid w:val="4FCD5A5A"/>
    <w:rsid w:val="4FDC5466"/>
    <w:rsid w:val="4FFB1E07"/>
    <w:rsid w:val="504D153A"/>
    <w:rsid w:val="505754F8"/>
    <w:rsid w:val="50596B1B"/>
    <w:rsid w:val="514C35D0"/>
    <w:rsid w:val="518D47A2"/>
    <w:rsid w:val="51D10775"/>
    <w:rsid w:val="51EA3B54"/>
    <w:rsid w:val="51F14C6C"/>
    <w:rsid w:val="52397698"/>
    <w:rsid w:val="526507FA"/>
    <w:rsid w:val="527B4D0D"/>
    <w:rsid w:val="52DF0508"/>
    <w:rsid w:val="52E41F0D"/>
    <w:rsid w:val="52EA20AC"/>
    <w:rsid w:val="52F30EA2"/>
    <w:rsid w:val="53153628"/>
    <w:rsid w:val="53496A03"/>
    <w:rsid w:val="53855D28"/>
    <w:rsid w:val="53AB68B5"/>
    <w:rsid w:val="53C45D5C"/>
    <w:rsid w:val="54463F9A"/>
    <w:rsid w:val="545A1725"/>
    <w:rsid w:val="54C8585C"/>
    <w:rsid w:val="54E175D8"/>
    <w:rsid w:val="55004A57"/>
    <w:rsid w:val="553605C9"/>
    <w:rsid w:val="5537481E"/>
    <w:rsid w:val="554F532E"/>
    <w:rsid w:val="558125E2"/>
    <w:rsid w:val="559E470A"/>
    <w:rsid w:val="55C72502"/>
    <w:rsid w:val="562548E2"/>
    <w:rsid w:val="56583B25"/>
    <w:rsid w:val="56667C5F"/>
    <w:rsid w:val="573B6867"/>
    <w:rsid w:val="5754074F"/>
    <w:rsid w:val="57702AA9"/>
    <w:rsid w:val="578D3CE2"/>
    <w:rsid w:val="57A1206C"/>
    <w:rsid w:val="57C10642"/>
    <w:rsid w:val="57C64DAF"/>
    <w:rsid w:val="58077A8D"/>
    <w:rsid w:val="584B7F20"/>
    <w:rsid w:val="58607A37"/>
    <w:rsid w:val="588A11FF"/>
    <w:rsid w:val="58C713AF"/>
    <w:rsid w:val="58DE2E20"/>
    <w:rsid w:val="590C60DD"/>
    <w:rsid w:val="59235193"/>
    <w:rsid w:val="593364E1"/>
    <w:rsid w:val="593F3A1A"/>
    <w:rsid w:val="59EC2B03"/>
    <w:rsid w:val="5A6D2AFF"/>
    <w:rsid w:val="5AD043A1"/>
    <w:rsid w:val="5B530A79"/>
    <w:rsid w:val="5B58018C"/>
    <w:rsid w:val="5B5902E7"/>
    <w:rsid w:val="5B6733DF"/>
    <w:rsid w:val="5B6B0506"/>
    <w:rsid w:val="5BBA67A1"/>
    <w:rsid w:val="5C02016D"/>
    <w:rsid w:val="5C186ED1"/>
    <w:rsid w:val="5C401F83"/>
    <w:rsid w:val="5C4F2250"/>
    <w:rsid w:val="5C7F6F80"/>
    <w:rsid w:val="5C9C00FF"/>
    <w:rsid w:val="5CC9014E"/>
    <w:rsid w:val="5D5A6E45"/>
    <w:rsid w:val="5D803492"/>
    <w:rsid w:val="5D8F266B"/>
    <w:rsid w:val="5DE140AA"/>
    <w:rsid w:val="5DF51CFB"/>
    <w:rsid w:val="5DF91007"/>
    <w:rsid w:val="5E13020F"/>
    <w:rsid w:val="5E52311F"/>
    <w:rsid w:val="5EC04765"/>
    <w:rsid w:val="5EE0148D"/>
    <w:rsid w:val="5F28007B"/>
    <w:rsid w:val="5F3416E4"/>
    <w:rsid w:val="5F7F4861"/>
    <w:rsid w:val="5FB4732E"/>
    <w:rsid w:val="5FC116AC"/>
    <w:rsid w:val="5FC66E8E"/>
    <w:rsid w:val="5FF83BC5"/>
    <w:rsid w:val="603D7439"/>
    <w:rsid w:val="60695AB9"/>
    <w:rsid w:val="606D0C16"/>
    <w:rsid w:val="608337E2"/>
    <w:rsid w:val="60966BB4"/>
    <w:rsid w:val="60D22EA5"/>
    <w:rsid w:val="60EF5D26"/>
    <w:rsid w:val="61271964"/>
    <w:rsid w:val="61316552"/>
    <w:rsid w:val="617A4E7D"/>
    <w:rsid w:val="61B31C3F"/>
    <w:rsid w:val="61D31F51"/>
    <w:rsid w:val="61F26A0C"/>
    <w:rsid w:val="61F544F3"/>
    <w:rsid w:val="621D7C40"/>
    <w:rsid w:val="623E4AE6"/>
    <w:rsid w:val="624F24DB"/>
    <w:rsid w:val="62575CE7"/>
    <w:rsid w:val="62CE7766"/>
    <w:rsid w:val="62E5413B"/>
    <w:rsid w:val="63560A4F"/>
    <w:rsid w:val="63807109"/>
    <w:rsid w:val="63AD73A6"/>
    <w:rsid w:val="63BB52AC"/>
    <w:rsid w:val="63EF5092"/>
    <w:rsid w:val="640C0830"/>
    <w:rsid w:val="64372E3C"/>
    <w:rsid w:val="647A49C2"/>
    <w:rsid w:val="64A77044"/>
    <w:rsid w:val="64B65FEA"/>
    <w:rsid w:val="64B8674B"/>
    <w:rsid w:val="64FF08A5"/>
    <w:rsid w:val="651238E3"/>
    <w:rsid w:val="655A0834"/>
    <w:rsid w:val="65CD44FD"/>
    <w:rsid w:val="65D17A94"/>
    <w:rsid w:val="66042D2C"/>
    <w:rsid w:val="660F2712"/>
    <w:rsid w:val="66426875"/>
    <w:rsid w:val="66814AB1"/>
    <w:rsid w:val="66951888"/>
    <w:rsid w:val="66B8028F"/>
    <w:rsid w:val="66D3572C"/>
    <w:rsid w:val="66D8146E"/>
    <w:rsid w:val="66E2417C"/>
    <w:rsid w:val="670A252B"/>
    <w:rsid w:val="67295F25"/>
    <w:rsid w:val="67377F81"/>
    <w:rsid w:val="674D2BB6"/>
    <w:rsid w:val="67B71F35"/>
    <w:rsid w:val="67BD45E9"/>
    <w:rsid w:val="67E61A66"/>
    <w:rsid w:val="67F75072"/>
    <w:rsid w:val="682D3495"/>
    <w:rsid w:val="68467849"/>
    <w:rsid w:val="68560A14"/>
    <w:rsid w:val="68D15606"/>
    <w:rsid w:val="68EC4282"/>
    <w:rsid w:val="69636407"/>
    <w:rsid w:val="69662081"/>
    <w:rsid w:val="699B7963"/>
    <w:rsid w:val="69EA46E0"/>
    <w:rsid w:val="69F55804"/>
    <w:rsid w:val="6A8A7E2A"/>
    <w:rsid w:val="6A9638C9"/>
    <w:rsid w:val="6AD51316"/>
    <w:rsid w:val="6B7B45C8"/>
    <w:rsid w:val="6BBE706F"/>
    <w:rsid w:val="6BDD375A"/>
    <w:rsid w:val="6BEA0DCD"/>
    <w:rsid w:val="6C1A6F0E"/>
    <w:rsid w:val="6C1C60A1"/>
    <w:rsid w:val="6C5266B1"/>
    <w:rsid w:val="6C6B032A"/>
    <w:rsid w:val="6D1102ED"/>
    <w:rsid w:val="6D554757"/>
    <w:rsid w:val="6D765805"/>
    <w:rsid w:val="6DA3446C"/>
    <w:rsid w:val="6DA42328"/>
    <w:rsid w:val="6E2B67BC"/>
    <w:rsid w:val="6E30322B"/>
    <w:rsid w:val="6E306997"/>
    <w:rsid w:val="6E4E6CBE"/>
    <w:rsid w:val="6EAD34A8"/>
    <w:rsid w:val="6EB75E0D"/>
    <w:rsid w:val="6EC12F19"/>
    <w:rsid w:val="6F1859E8"/>
    <w:rsid w:val="6F350388"/>
    <w:rsid w:val="6F3E1F7E"/>
    <w:rsid w:val="6F6C2BBD"/>
    <w:rsid w:val="6F752637"/>
    <w:rsid w:val="6F894BD7"/>
    <w:rsid w:val="6FAF3250"/>
    <w:rsid w:val="6FCF3162"/>
    <w:rsid w:val="6FDA3A0D"/>
    <w:rsid w:val="6FE50A20"/>
    <w:rsid w:val="705D0061"/>
    <w:rsid w:val="70CA6480"/>
    <w:rsid w:val="70E97D9A"/>
    <w:rsid w:val="70F419BB"/>
    <w:rsid w:val="70F8055D"/>
    <w:rsid w:val="71085674"/>
    <w:rsid w:val="71270B17"/>
    <w:rsid w:val="71513F36"/>
    <w:rsid w:val="71717EE1"/>
    <w:rsid w:val="718C3550"/>
    <w:rsid w:val="719428F9"/>
    <w:rsid w:val="71943BE1"/>
    <w:rsid w:val="721E0B02"/>
    <w:rsid w:val="723D4B43"/>
    <w:rsid w:val="72D13CDB"/>
    <w:rsid w:val="73252F15"/>
    <w:rsid w:val="733D283A"/>
    <w:rsid w:val="736A60EC"/>
    <w:rsid w:val="73802C2C"/>
    <w:rsid w:val="73BF5FDB"/>
    <w:rsid w:val="73E678A9"/>
    <w:rsid w:val="73FA30EB"/>
    <w:rsid w:val="741C3F5E"/>
    <w:rsid w:val="74377118"/>
    <w:rsid w:val="748323B7"/>
    <w:rsid w:val="748E1F5C"/>
    <w:rsid w:val="74A04E39"/>
    <w:rsid w:val="74B01B1A"/>
    <w:rsid w:val="75201B39"/>
    <w:rsid w:val="753901A6"/>
    <w:rsid w:val="7554669F"/>
    <w:rsid w:val="75797AA5"/>
    <w:rsid w:val="75C57D37"/>
    <w:rsid w:val="75C85545"/>
    <w:rsid w:val="75E952FC"/>
    <w:rsid w:val="764A75B0"/>
    <w:rsid w:val="76521847"/>
    <w:rsid w:val="76D0766A"/>
    <w:rsid w:val="76E07CDB"/>
    <w:rsid w:val="772A5761"/>
    <w:rsid w:val="774722B6"/>
    <w:rsid w:val="77797ABB"/>
    <w:rsid w:val="778F2D2F"/>
    <w:rsid w:val="77A46D36"/>
    <w:rsid w:val="77BC45A3"/>
    <w:rsid w:val="77D31868"/>
    <w:rsid w:val="77EB3C00"/>
    <w:rsid w:val="77F7386F"/>
    <w:rsid w:val="78061532"/>
    <w:rsid w:val="78223734"/>
    <w:rsid w:val="78435220"/>
    <w:rsid w:val="785E0D79"/>
    <w:rsid w:val="78796F0D"/>
    <w:rsid w:val="788C6E05"/>
    <w:rsid w:val="78990D6C"/>
    <w:rsid w:val="78E56EB0"/>
    <w:rsid w:val="79036AC9"/>
    <w:rsid w:val="79336D77"/>
    <w:rsid w:val="79942839"/>
    <w:rsid w:val="79A31411"/>
    <w:rsid w:val="79C27653"/>
    <w:rsid w:val="79C40291"/>
    <w:rsid w:val="79D558D0"/>
    <w:rsid w:val="79E13D07"/>
    <w:rsid w:val="7A163A32"/>
    <w:rsid w:val="7A696F05"/>
    <w:rsid w:val="7A84541B"/>
    <w:rsid w:val="7A8851E7"/>
    <w:rsid w:val="7BCB6C69"/>
    <w:rsid w:val="7BD80ACB"/>
    <w:rsid w:val="7BFF337A"/>
    <w:rsid w:val="7C3A142A"/>
    <w:rsid w:val="7C777908"/>
    <w:rsid w:val="7CDE126C"/>
    <w:rsid w:val="7D0D2D20"/>
    <w:rsid w:val="7D34215E"/>
    <w:rsid w:val="7D8B2514"/>
    <w:rsid w:val="7D8C7A38"/>
    <w:rsid w:val="7DCD292D"/>
    <w:rsid w:val="7E100F8A"/>
    <w:rsid w:val="7E2140B9"/>
    <w:rsid w:val="7E67616B"/>
    <w:rsid w:val="7E887543"/>
    <w:rsid w:val="7EAF0BE9"/>
    <w:rsid w:val="7EC04375"/>
    <w:rsid w:val="7EEE26AE"/>
    <w:rsid w:val="7EEE75D6"/>
    <w:rsid w:val="7F3A4AAE"/>
    <w:rsid w:val="7F43711F"/>
    <w:rsid w:val="7FB70A57"/>
    <w:rsid w:val="7FB827DE"/>
    <w:rsid w:val="7FF05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黑体"/>
      <w:sz w:val="24"/>
      <w:szCs w:val="22"/>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kern w:val="44"/>
      <w:sz w:val="44"/>
    </w:rPr>
  </w:style>
  <w:style w:type="paragraph" w:styleId="2">
    <w:name w:val="heading 2"/>
    <w:basedOn w:val="1"/>
    <w:next w:val="1"/>
    <w:autoRedefine/>
    <w:qFormat/>
    <w:uiPriority w:val="0"/>
    <w:pPr>
      <w:keepNext/>
      <w:keepLines/>
      <w:widowControl w:val="0"/>
      <w:overflowPunct w:val="0"/>
      <w:adjustRightInd w:val="0"/>
      <w:jc w:val="center"/>
      <w:textAlignment w:val="baseline"/>
      <w:outlineLvl w:val="1"/>
    </w:pPr>
    <w:rPr>
      <w:rFonts w:ascii="宋体" w:hAnsi="宋体" w:eastAsia="楷体_GB2312"/>
      <w:b/>
      <w:kern w:val="2"/>
      <w:sz w:val="44"/>
    </w:rPr>
  </w:style>
  <w:style w:type="paragraph" w:styleId="4">
    <w:name w:val="heading 3"/>
    <w:basedOn w:val="1"/>
    <w:next w:val="1"/>
    <w:autoRedefine/>
    <w:qFormat/>
    <w:uiPriority w:val="0"/>
    <w:pPr>
      <w:keepNext/>
      <w:keepLines/>
      <w:widowControl w:val="0"/>
      <w:spacing w:before="260" w:after="260" w:line="415" w:lineRule="auto"/>
      <w:jc w:val="both"/>
      <w:outlineLvl w:val="2"/>
    </w:pPr>
    <w:rPr>
      <w:b/>
      <w:kern w:val="2"/>
      <w:sz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cs="Arial"/>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djustRightInd w:val="0"/>
      <w:ind w:firstLine="420"/>
      <w:textAlignment w:val="baseline"/>
    </w:pPr>
  </w:style>
  <w:style w:type="paragraph" w:styleId="7">
    <w:name w:val="Document Map"/>
    <w:basedOn w:val="1"/>
    <w:link w:val="41"/>
    <w:autoRedefine/>
    <w:qFormat/>
    <w:uiPriority w:val="0"/>
    <w:rPr>
      <w:rFonts w:ascii="宋体" w:cs="Times New Roman"/>
      <w:sz w:val="18"/>
      <w:szCs w:val="18"/>
    </w:rPr>
  </w:style>
  <w:style w:type="paragraph" w:styleId="8">
    <w:name w:val="annotation text"/>
    <w:basedOn w:val="1"/>
    <w:link w:val="42"/>
    <w:autoRedefine/>
    <w:qFormat/>
    <w:uiPriority w:val="0"/>
    <w:pPr>
      <w:widowControl w:val="0"/>
    </w:pPr>
    <w:rPr>
      <w:rFonts w:cs="Times New Roman"/>
      <w:kern w:val="2"/>
      <w:sz w:val="21"/>
      <w:szCs w:val="21"/>
    </w:rPr>
  </w:style>
  <w:style w:type="paragraph" w:styleId="9">
    <w:name w:val="Body Text"/>
    <w:basedOn w:val="1"/>
    <w:next w:val="1"/>
    <w:autoRedefine/>
    <w:qFormat/>
    <w:uiPriority w:val="0"/>
    <w:pPr>
      <w:snapToGrid w:val="0"/>
      <w:spacing w:line="300" w:lineRule="auto"/>
    </w:pPr>
    <w:rPr>
      <w:rFonts w:eastAsia="微软简楷体"/>
      <w:sz w:val="30"/>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autoRedefine/>
    <w:semiHidden/>
    <w:qFormat/>
    <w:uiPriority w:val="0"/>
    <w:pPr>
      <w:snapToGrid w:val="0"/>
    </w:pPr>
    <w:rPr>
      <w:rFonts w:ascii="Arial" w:hAnsi="Arial" w:cs="Arial"/>
    </w:rPr>
  </w:style>
  <w:style w:type="paragraph" w:styleId="12">
    <w:name w:val="Block Text"/>
    <w:basedOn w:val="1"/>
    <w:autoRedefine/>
    <w:qFormat/>
    <w:uiPriority w:val="0"/>
    <w:pPr>
      <w:autoSpaceDE w:val="0"/>
      <w:autoSpaceDN w:val="0"/>
      <w:adjustRightInd w:val="0"/>
      <w:ind w:left="256" w:right="6" w:firstLine="624" w:firstLineChars="200"/>
    </w:pPr>
    <w:rPr>
      <w:rFonts w:ascii="Times New Roman" w:hAnsi="Times New Roman" w:eastAsia="仿宋_GB2312" w:cs="Times New Roman"/>
      <w:sz w:val="28"/>
      <w:szCs w:val="20"/>
    </w:rPr>
  </w:style>
  <w:style w:type="paragraph" w:styleId="13">
    <w:name w:val="Plain Text"/>
    <w:basedOn w:val="1"/>
    <w:link w:val="43"/>
    <w:autoRedefine/>
    <w:qFormat/>
    <w:uiPriority w:val="0"/>
    <w:rPr>
      <w:rFonts w:ascii="宋体" w:hAnsi="Courier New" w:eastAsia="楷体_GB2312" w:cs="Times New Roman"/>
      <w:sz w:val="26"/>
    </w:rPr>
  </w:style>
  <w:style w:type="paragraph" w:styleId="14">
    <w:name w:val="Date"/>
    <w:basedOn w:val="1"/>
    <w:next w:val="1"/>
    <w:autoRedefine/>
    <w:qFormat/>
    <w:uiPriority w:val="0"/>
    <w:rPr>
      <w:szCs w:val="20"/>
    </w:rPr>
  </w:style>
  <w:style w:type="paragraph" w:styleId="15">
    <w:name w:val="Body Text Indent 2"/>
    <w:basedOn w:val="1"/>
    <w:autoRedefine/>
    <w:qFormat/>
    <w:uiPriority w:val="0"/>
    <w:pPr>
      <w:spacing w:line="420" w:lineRule="exact"/>
      <w:ind w:firstLine="955" w:firstLineChars="398"/>
    </w:pPr>
    <w:rPr>
      <w:rFonts w:ascii="楷体_GB2312" w:eastAsia="楷体_GB2312"/>
      <w:bCs/>
    </w:rPr>
  </w:style>
  <w:style w:type="paragraph" w:styleId="16">
    <w:name w:val="Balloon Text"/>
    <w:basedOn w:val="1"/>
    <w:autoRedefine/>
    <w:qFormat/>
    <w:uiPriority w:val="0"/>
    <w:rPr>
      <w:sz w:val="18"/>
    </w:rPr>
  </w:style>
  <w:style w:type="paragraph" w:styleId="17">
    <w:name w:val="footer"/>
    <w:basedOn w:val="1"/>
    <w:autoRedefine/>
    <w:qFormat/>
    <w:uiPriority w:val="0"/>
    <w:pPr>
      <w:tabs>
        <w:tab w:val="center" w:pos="4153"/>
        <w:tab w:val="right" w:pos="8306"/>
      </w:tabs>
      <w:snapToGrid w:val="0"/>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9">
    <w:name w:val="toc 1"/>
    <w:basedOn w:val="1"/>
    <w:next w:val="1"/>
    <w:autoRedefine/>
    <w:unhideWhenUsed/>
    <w:qFormat/>
    <w:uiPriority w:val="39"/>
  </w:style>
  <w:style w:type="paragraph" w:styleId="20">
    <w:name w:val="Subtitle"/>
    <w:basedOn w:val="1"/>
    <w:autoRedefine/>
    <w:qFormat/>
    <w:uiPriority w:val="0"/>
    <w:pPr>
      <w:spacing w:before="240" w:after="60" w:line="312" w:lineRule="auto"/>
      <w:jc w:val="center"/>
      <w:outlineLvl w:val="1"/>
    </w:pPr>
    <w:rPr>
      <w:rFonts w:ascii="Arial" w:hAnsi="Arial" w:cs="Arial"/>
      <w:b/>
      <w:bCs/>
      <w:kern w:val="28"/>
      <w:sz w:val="32"/>
      <w:szCs w:val="32"/>
    </w:rPr>
  </w:style>
  <w:style w:type="paragraph" w:styleId="21">
    <w:name w:val="Normal (Web)"/>
    <w:basedOn w:val="1"/>
    <w:autoRedefine/>
    <w:qFormat/>
    <w:uiPriority w:val="0"/>
    <w:pPr>
      <w:spacing w:beforeAutospacing="1" w:afterAutospacing="1"/>
    </w:pPr>
  </w:style>
  <w:style w:type="paragraph" w:styleId="22">
    <w:name w:val="annotation subject"/>
    <w:basedOn w:val="8"/>
    <w:next w:val="8"/>
    <w:link w:val="44"/>
    <w:autoRedefine/>
    <w:qFormat/>
    <w:uiPriority w:val="0"/>
    <w:pPr>
      <w:widowControl/>
    </w:pPr>
    <w:rPr>
      <w:b/>
      <w:bCs/>
      <w:kern w:val="0"/>
      <w:sz w:val="24"/>
      <w:szCs w:val="22"/>
    </w:rPr>
  </w:style>
  <w:style w:type="paragraph" w:styleId="23">
    <w:name w:val="Body Text First Indent"/>
    <w:basedOn w:val="9"/>
    <w:autoRedefine/>
    <w:qFormat/>
    <w:uiPriority w:val="0"/>
    <w:pPr>
      <w:snapToGrid/>
      <w:spacing w:after="120" w:line="240" w:lineRule="auto"/>
      <w:ind w:firstLine="420" w:firstLineChars="100"/>
    </w:pPr>
    <w:rPr>
      <w:rFonts w:eastAsia="楷体_GB2312"/>
      <w:sz w:val="28"/>
      <w:szCs w:val="28"/>
    </w:rPr>
  </w:style>
  <w:style w:type="paragraph" w:styleId="24">
    <w:name w:val="Body Text First Indent 2"/>
    <w:basedOn w:val="10"/>
    <w:next w:val="1"/>
    <w:autoRedefine/>
    <w:qFormat/>
    <w:uiPriority w:val="0"/>
    <w:pPr>
      <w:ind w:firstLine="420" w:firstLineChars="200"/>
    </w:pPr>
  </w:style>
  <w:style w:type="table" w:styleId="26">
    <w:name w:val="Table Grid"/>
    <w:basedOn w:val="2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22"/>
    <w:rPr>
      <w:b/>
      <w:bCs/>
    </w:rPr>
  </w:style>
  <w:style w:type="character" w:styleId="29">
    <w:name w:val="page number"/>
    <w:autoRedefine/>
    <w:qFormat/>
    <w:uiPriority w:val="0"/>
  </w:style>
  <w:style w:type="character" w:styleId="30">
    <w:name w:val="FollowedHyperlink"/>
    <w:autoRedefine/>
    <w:qFormat/>
    <w:uiPriority w:val="0"/>
    <w:rPr>
      <w:color w:val="800080"/>
      <w:u w:val="none"/>
    </w:rPr>
  </w:style>
  <w:style w:type="character" w:styleId="31">
    <w:name w:val="HTML Definition"/>
    <w:autoRedefine/>
    <w:qFormat/>
    <w:uiPriority w:val="0"/>
  </w:style>
  <w:style w:type="character" w:styleId="32">
    <w:name w:val="HTML Typewriter"/>
    <w:autoRedefine/>
    <w:qFormat/>
    <w:uiPriority w:val="0"/>
    <w:rPr>
      <w:rFonts w:hint="default" w:ascii="monospace" w:hAnsi="monospace" w:eastAsia="monospace" w:cs="monospace"/>
      <w:sz w:val="20"/>
    </w:rPr>
  </w:style>
  <w:style w:type="character" w:styleId="33">
    <w:name w:val="HTML Acronym"/>
    <w:autoRedefine/>
    <w:qFormat/>
    <w:uiPriority w:val="0"/>
  </w:style>
  <w:style w:type="character" w:styleId="34">
    <w:name w:val="HTML Variable"/>
    <w:autoRedefine/>
    <w:qFormat/>
    <w:uiPriority w:val="0"/>
  </w:style>
  <w:style w:type="character" w:styleId="35">
    <w:name w:val="Hyperlink"/>
    <w:autoRedefine/>
    <w:qFormat/>
    <w:uiPriority w:val="0"/>
    <w:rPr>
      <w:color w:val="000000"/>
      <w:u w:val="none"/>
    </w:rPr>
  </w:style>
  <w:style w:type="character" w:styleId="36">
    <w:name w:val="HTML Code"/>
    <w:autoRedefine/>
    <w:qFormat/>
    <w:uiPriority w:val="0"/>
    <w:rPr>
      <w:rFonts w:ascii="monospace" w:hAnsi="monospace" w:eastAsia="monospace" w:cs="monospace"/>
      <w:sz w:val="20"/>
    </w:rPr>
  </w:style>
  <w:style w:type="character" w:styleId="37">
    <w:name w:val="annotation reference"/>
    <w:autoRedefine/>
    <w:qFormat/>
    <w:uiPriority w:val="0"/>
    <w:rPr>
      <w:sz w:val="21"/>
      <w:szCs w:val="21"/>
    </w:rPr>
  </w:style>
  <w:style w:type="character" w:styleId="38">
    <w:name w:val="HTML Cite"/>
    <w:autoRedefine/>
    <w:qFormat/>
    <w:uiPriority w:val="0"/>
  </w:style>
  <w:style w:type="character" w:styleId="39">
    <w:name w:val="HTML Keyboard"/>
    <w:autoRedefine/>
    <w:qFormat/>
    <w:uiPriority w:val="0"/>
    <w:rPr>
      <w:rFonts w:hint="default" w:ascii="monospace" w:hAnsi="monospace" w:eastAsia="monospace" w:cs="monospace"/>
      <w:sz w:val="20"/>
    </w:rPr>
  </w:style>
  <w:style w:type="character" w:styleId="40">
    <w:name w:val="HTML Sample"/>
    <w:autoRedefine/>
    <w:qFormat/>
    <w:uiPriority w:val="0"/>
    <w:rPr>
      <w:rFonts w:hint="default" w:ascii="monospace" w:hAnsi="monospace" w:eastAsia="monospace" w:cs="monospace"/>
    </w:rPr>
  </w:style>
  <w:style w:type="character" w:customStyle="1" w:styleId="41">
    <w:name w:val="文档结构图 字符"/>
    <w:link w:val="7"/>
    <w:autoRedefine/>
    <w:qFormat/>
    <w:uiPriority w:val="0"/>
    <w:rPr>
      <w:rFonts w:ascii="宋体" w:hAnsi="Calibri" w:cs="黑体"/>
      <w:sz w:val="18"/>
      <w:szCs w:val="18"/>
    </w:rPr>
  </w:style>
  <w:style w:type="character" w:customStyle="1" w:styleId="42">
    <w:name w:val="批注文字 字符"/>
    <w:link w:val="8"/>
    <w:autoRedefine/>
    <w:qFormat/>
    <w:uiPriority w:val="0"/>
    <w:rPr>
      <w:rFonts w:ascii="Calibri" w:hAnsi="Calibri" w:cs="黑体"/>
      <w:kern w:val="2"/>
      <w:sz w:val="21"/>
      <w:szCs w:val="21"/>
    </w:rPr>
  </w:style>
  <w:style w:type="character" w:customStyle="1" w:styleId="43">
    <w:name w:val="纯文本 字符"/>
    <w:link w:val="13"/>
    <w:autoRedefine/>
    <w:qFormat/>
    <w:uiPriority w:val="0"/>
    <w:rPr>
      <w:rFonts w:ascii="宋体" w:hAnsi="Courier New" w:eastAsia="楷体_GB2312" w:cs="黑体"/>
      <w:sz w:val="26"/>
      <w:szCs w:val="22"/>
    </w:rPr>
  </w:style>
  <w:style w:type="character" w:customStyle="1" w:styleId="44">
    <w:name w:val="批注主题 字符"/>
    <w:link w:val="22"/>
    <w:autoRedefine/>
    <w:qFormat/>
    <w:uiPriority w:val="0"/>
  </w:style>
  <w:style w:type="character" w:customStyle="1" w:styleId="45">
    <w:name w:val="font61"/>
    <w:autoRedefine/>
    <w:qFormat/>
    <w:uiPriority w:val="0"/>
    <w:rPr>
      <w:rFonts w:hint="eastAsia" w:ascii="宋体" w:hAnsi="宋体" w:eastAsia="宋体" w:cs="宋体"/>
      <w:color w:val="FFFFFF"/>
      <w:sz w:val="24"/>
      <w:szCs w:val="24"/>
      <w:u w:val="none"/>
    </w:rPr>
  </w:style>
  <w:style w:type="character" w:customStyle="1" w:styleId="46">
    <w:name w:val="font81"/>
    <w:autoRedefine/>
    <w:qFormat/>
    <w:uiPriority w:val="0"/>
    <w:rPr>
      <w:rFonts w:hint="eastAsia" w:ascii="宋体" w:hAnsi="宋体" w:eastAsia="宋体" w:cs="宋体"/>
      <w:color w:val="000000"/>
      <w:sz w:val="20"/>
      <w:szCs w:val="20"/>
      <w:u w:val="none"/>
    </w:rPr>
  </w:style>
  <w:style w:type="character" w:customStyle="1" w:styleId="47">
    <w:name w:val="font51"/>
    <w:autoRedefine/>
    <w:qFormat/>
    <w:uiPriority w:val="0"/>
    <w:rPr>
      <w:rFonts w:hint="eastAsia" w:ascii="宋体" w:hAnsi="宋体" w:eastAsia="宋体" w:cs="宋体"/>
      <w:b/>
      <w:color w:val="FFFFFF"/>
      <w:sz w:val="24"/>
      <w:szCs w:val="24"/>
      <w:u w:val="none"/>
    </w:rPr>
  </w:style>
  <w:style w:type="character" w:customStyle="1" w:styleId="48">
    <w:name w:val="font11"/>
    <w:autoRedefine/>
    <w:qFormat/>
    <w:uiPriority w:val="0"/>
    <w:rPr>
      <w:rFonts w:hint="eastAsia" w:ascii="宋体" w:hAnsi="宋体" w:eastAsia="宋体" w:cs="宋体"/>
      <w:b/>
      <w:color w:val="000000"/>
      <w:sz w:val="20"/>
      <w:szCs w:val="20"/>
      <w:u w:val="none"/>
    </w:rPr>
  </w:style>
  <w:style w:type="character" w:customStyle="1" w:styleId="49">
    <w:name w:val="wyg1"/>
    <w:autoRedefine/>
    <w:qFormat/>
    <w:uiPriority w:val="6"/>
    <w:rPr>
      <w:color w:val="000000"/>
      <w:sz w:val="20"/>
      <w:szCs w:val="20"/>
      <w:u w:val="none"/>
    </w:rPr>
  </w:style>
  <w:style w:type="character" w:customStyle="1" w:styleId="50">
    <w:name w:val="font71"/>
    <w:autoRedefine/>
    <w:qFormat/>
    <w:uiPriority w:val="0"/>
    <w:rPr>
      <w:rFonts w:hint="eastAsia" w:ascii="宋体" w:hAnsi="宋体" w:eastAsia="宋体" w:cs="宋体"/>
      <w:b/>
      <w:color w:val="FFFFFF"/>
      <w:sz w:val="24"/>
      <w:szCs w:val="24"/>
      <w:u w:val="none"/>
    </w:rPr>
  </w:style>
  <w:style w:type="character" w:customStyle="1" w:styleId="51">
    <w:name w:val="font21"/>
    <w:autoRedefine/>
    <w:qFormat/>
    <w:uiPriority w:val="0"/>
    <w:rPr>
      <w:rFonts w:hint="eastAsia" w:ascii="宋体" w:hAnsi="宋体" w:eastAsia="宋体" w:cs="宋体"/>
      <w:b/>
      <w:color w:val="000000"/>
      <w:sz w:val="20"/>
      <w:szCs w:val="20"/>
      <w:u w:val="none"/>
    </w:rPr>
  </w:style>
  <w:style w:type="character" w:customStyle="1" w:styleId="52">
    <w:name w:val="font01"/>
    <w:autoRedefine/>
    <w:qFormat/>
    <w:uiPriority w:val="0"/>
    <w:rPr>
      <w:rFonts w:hint="eastAsia" w:ascii="宋体" w:hAnsi="宋体" w:eastAsia="宋体" w:cs="宋体"/>
      <w:color w:val="000000"/>
      <w:sz w:val="24"/>
      <w:szCs w:val="24"/>
      <w:u w:val="none"/>
    </w:rPr>
  </w:style>
  <w:style w:type="paragraph" w:customStyle="1" w:styleId="53">
    <w:name w:val="正文缩进2字符"/>
    <w:basedOn w:val="1"/>
    <w:autoRedefine/>
    <w:qFormat/>
    <w:uiPriority w:val="0"/>
    <w:pPr>
      <w:spacing w:line="360" w:lineRule="auto"/>
      <w:ind w:firstLine="200" w:firstLineChars="200"/>
    </w:pPr>
    <w:rPr>
      <w:szCs w:val="20"/>
    </w:rPr>
  </w:style>
  <w:style w:type="paragraph" w:customStyle="1" w:styleId="54">
    <w:name w:val="纯文本1"/>
    <w:basedOn w:val="1"/>
    <w:autoRedefine/>
    <w:qFormat/>
    <w:uiPriority w:val="0"/>
    <w:pPr>
      <w:adjustRightInd w:val="0"/>
      <w:textAlignment w:val="baseline"/>
    </w:pPr>
    <w:rPr>
      <w:rFonts w:ascii="宋体" w:hAnsi="Courier New" w:eastAsia="楷体_GB2312"/>
      <w:sz w:val="26"/>
    </w:rPr>
  </w:style>
  <w:style w:type="paragraph" w:customStyle="1" w:styleId="55">
    <w:name w:val="列出段落1"/>
    <w:basedOn w:val="1"/>
    <w:autoRedefine/>
    <w:qFormat/>
    <w:uiPriority w:val="0"/>
    <w:pPr>
      <w:ind w:firstLine="420" w:firstLineChars="200"/>
    </w:pPr>
    <w:rPr>
      <w:szCs w:val="20"/>
    </w:rPr>
  </w:style>
  <w:style w:type="paragraph" w:customStyle="1" w:styleId="56">
    <w:name w:val="节"/>
    <w:basedOn w:val="2"/>
    <w:autoRedefine/>
    <w:qFormat/>
    <w:uiPriority w:val="0"/>
    <w:pPr>
      <w:numPr>
        <w:ilvl w:val="1"/>
        <w:numId w:val="1"/>
      </w:numPr>
      <w:tabs>
        <w:tab w:val="left" w:pos="432"/>
        <w:tab w:val="clear" w:pos="576"/>
      </w:tabs>
      <w:adjustRightInd/>
      <w:spacing w:before="260" w:after="260"/>
      <w:jc w:val="both"/>
      <w:textAlignment w:val="auto"/>
    </w:pPr>
    <w:rPr>
      <w:rFonts w:ascii="黑体" w:hAnsi="Arial" w:eastAsia="黑体"/>
      <w:b w:val="0"/>
      <w:bCs/>
      <w:sz w:val="28"/>
      <w:szCs w:val="28"/>
    </w:rPr>
  </w:style>
  <w:style w:type="paragraph" w:customStyle="1" w:styleId="57">
    <w:name w:val="+正文"/>
    <w:basedOn w:val="1"/>
    <w:autoRedefine/>
    <w:qFormat/>
    <w:uiPriority w:val="0"/>
    <w:pPr>
      <w:spacing w:line="360" w:lineRule="auto"/>
      <w:ind w:firstLine="200" w:firstLineChars="200"/>
    </w:pPr>
  </w:style>
  <w:style w:type="paragraph" w:customStyle="1" w:styleId="58">
    <w:name w:val="正文文本1"/>
    <w:autoRedefine/>
    <w:qFormat/>
    <w:uiPriority w:val="0"/>
    <w:pPr>
      <w:widowControl w:val="0"/>
      <w:jc w:val="center"/>
    </w:pPr>
    <w:rPr>
      <w:rFonts w:hint="eastAsia" w:ascii="Arial Unicode MS" w:hAnsi="Arial Unicode MS" w:eastAsia="Times New Roman" w:cs="Arial Unicode MS"/>
      <w:b/>
      <w:bCs/>
      <w:color w:val="000000"/>
      <w:kern w:val="2"/>
      <w:sz w:val="28"/>
      <w:szCs w:val="28"/>
      <w:lang w:val="en-US" w:eastAsia="zh-CN" w:bidi="ar-SA"/>
    </w:rPr>
  </w:style>
  <w:style w:type="paragraph" w:customStyle="1" w:styleId="59">
    <w:name w:val="标题2"/>
    <w:basedOn w:val="20"/>
    <w:autoRedefine/>
    <w:qFormat/>
    <w:uiPriority w:val="0"/>
    <w:pPr>
      <w:widowControl w:val="0"/>
      <w:jc w:val="left"/>
    </w:pPr>
    <w:rPr>
      <w:rFonts w:ascii="Cambria" w:hAnsi="Cambria" w:cs="Times New Roman"/>
    </w:rPr>
  </w:style>
  <w:style w:type="paragraph" w:customStyle="1" w:styleId="60">
    <w:name w:val="正文 A"/>
    <w:autoRedefine/>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61">
    <w:name w:val="Plain Text1"/>
    <w:basedOn w:val="1"/>
    <w:autoRedefine/>
    <w:qFormat/>
    <w:uiPriority w:val="99"/>
    <w:pPr>
      <w:adjustRightInd w:val="0"/>
      <w:textAlignment w:val="baseline"/>
    </w:pPr>
    <w:rPr>
      <w:rFonts w:ascii="宋体" w:hAnsi="Courier New" w:eastAsia="楷体_GB2312"/>
      <w:sz w:val="26"/>
    </w:rPr>
  </w:style>
  <w:style w:type="paragraph" w:customStyle="1" w:styleId="62">
    <w:name w:val="Table Paragraph"/>
    <w:basedOn w:val="1"/>
    <w:autoRedefine/>
    <w:qFormat/>
    <w:uiPriority w:val="99"/>
  </w:style>
  <w:style w:type="character" w:customStyle="1" w:styleId="63">
    <w:name w:val="hover"/>
    <w:autoRedefine/>
    <w:qFormat/>
    <w:uiPriority w:val="0"/>
    <w:rPr>
      <w:color w:val="5FB878"/>
    </w:rPr>
  </w:style>
  <w:style w:type="character" w:customStyle="1" w:styleId="64">
    <w:name w:val="hover1"/>
    <w:autoRedefine/>
    <w:qFormat/>
    <w:uiPriority w:val="0"/>
    <w:rPr>
      <w:color w:val="5FB878"/>
    </w:rPr>
  </w:style>
  <w:style w:type="character" w:customStyle="1" w:styleId="65">
    <w:name w:val="hover2"/>
    <w:autoRedefine/>
    <w:qFormat/>
    <w:uiPriority w:val="0"/>
    <w:rPr>
      <w:color w:val="FFFFFF"/>
    </w:rPr>
  </w:style>
  <w:style w:type="table" w:customStyle="1" w:styleId="66">
    <w:name w:val="Table Normal"/>
    <w:autoRedefine/>
    <w:qFormat/>
    <w:uiPriority w:val="0"/>
    <w:tblPr>
      <w:tblCellMar>
        <w:top w:w="0" w:type="dxa"/>
        <w:left w:w="0" w:type="dxa"/>
        <w:bottom w:w="0" w:type="dxa"/>
        <w:right w:w="0" w:type="dxa"/>
      </w:tblCellMar>
    </w:tblPr>
  </w:style>
  <w:style w:type="paragraph" w:styleId="67">
    <w:name w:val="List Paragraph"/>
    <w:basedOn w:val="1"/>
    <w:autoRedefine/>
    <w:qFormat/>
    <w:uiPriority w:val="34"/>
    <w:pPr>
      <w:widowControl w:val="0"/>
      <w:ind w:firstLine="420" w:firstLineChars="200"/>
      <w:jc w:val="both"/>
    </w:pPr>
    <w:rPr>
      <w:rFonts w:ascii="Times New Roman" w:hAnsi="Times New Roman" w:cs="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440B5F-C8E1-43D7-AFAB-C2EB45F41D99}">
  <ds:schemaRefs/>
</ds:datastoreItem>
</file>

<file path=docProps/app.xml><?xml version="1.0" encoding="utf-8"?>
<Properties xmlns="http://schemas.openxmlformats.org/officeDocument/2006/extended-properties" xmlns:vt="http://schemas.openxmlformats.org/officeDocument/2006/docPropsVTypes">
  <Template>Normal</Template>
  <Pages>7</Pages>
  <Words>4162</Words>
  <Characters>4623</Characters>
  <Lines>163</Lines>
  <Paragraphs>45</Paragraphs>
  <TotalTime>2</TotalTime>
  <ScaleCrop>false</ScaleCrop>
  <LinksUpToDate>false</LinksUpToDate>
  <CharactersWithSpaces>4639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2022-11-15T08:27:00Z</dcterms:created>
  <dc:creator>小夕</dc:creator>
  <cp:lastModifiedBy>心随你动</cp:lastModifiedBy>
  <cp:lastPrinted>2021-12-06T01:11:00Z</cp:lastPrinted>
  <dcterms:modified xsi:type="dcterms:W3CDTF">2024-06-06T06:46:27Z</dcterms:modified>
  <dc:title>资源与地球科学学院安全供气系统修缮项目</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91A1CA5E3542479FB20D27FE84E2C85A_13</vt:lpwstr>
  </property>
</Properties>
</file>