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 w:lineRule="atLeast"/>
        <w:jc w:val="center"/>
        <w:outlineLvl w:val="3"/>
        <w:rPr>
          <w:color w:val="auto"/>
          <w:highlight w:val="none"/>
        </w:rPr>
      </w:pPr>
      <w:bookmarkStart w:id="2" w:name="_GoBack"/>
      <w:bookmarkEnd w:id="2"/>
      <w:r>
        <w:rPr>
          <w:rFonts w:hint="eastAsia" w:ascii="宋体" w:hAnsi="宋体" w:cs="宋体"/>
          <w:b/>
          <w:bCs/>
          <w:color w:val="auto"/>
          <w:sz w:val="36"/>
          <w:highlight w:val="none"/>
        </w:rPr>
        <w:t>采购需求</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一、项目概况</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根据国务院办公厅发布的首个供应链政策（国务院办公厅关于积极推进供应链创新与应用的指导意见－国办发〔2017〕84号）文件中的第四项保障措施中的第五点明确指出：“加快培养多层次供应链人才。支持高等院校和职业学校设置供应链相关专业和课程，培养供应链专业人才。鼓励相关企业和专业机构加强供应链人才培训。创新供应链人才激励机制，加强国际化的人才流动与管理，吸引和聚集世界优秀供应链人才。”</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在“一带一路”新时期战略思想的指导下，随着产业转型升级和生产性服务业的快速发展，企业对员工技能培训提出更高的要求。如何在“一带一路”新时期战略思想的指导下，跟紧产业发展的步伐，适应新时期的产业发展；如何在当今“信息化”时代结合大数据分析管理体系，培养适合企业发展的专业性人才将是学校教学的首要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汽车检测防护工作站和仿真软件及充电桩专业设备培训是高校技能类专业一门重要的专业核心课程，该课程学习形成的管理基本理念也是学生未来职业生涯中不可或缺的管理思维，也为未来从事相关岗位工作的学生培养团队合作精神、抗压精神和沟通能力等职业素养。</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原有的技能培训教学基本上以理论加案例的学习形式为主，无论教材还是课程资源都已经不能适应企业对供应链相关岗位技能要求。如何在教学过程中实现理实结合进行教学，如何实现教学做一体化教学模式是当前教学改革的重点工作；因此，技能手操相关课程教学急需一套适应新时期企业相应岗位的实训系统。传统的技能教学中，基本上以教师的为主，学生主动学习积极性不高，若能辅以一些使用真实企业案例为背景的实战模拟系统以及以工作任务为驱动的项目式实训系统，学生学习的主动性便会大幅提高。</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预计汽车检测防护工作站和仿真软件及充电桩专业设备投入使用以后，既能满足专业建设需要，也能满足实践教学需要，使学习内容与岗位要求直接对接，提升这些课程教学质量，提高学生主动学习的兴趣。有助于提高学生对汽车检测防护工作站和仿真软件及充电桩专业设备的实际操作能力和检修能力。在这个过程中让学生运用电气相关知识，充分运用所学的知识高效执行相关操作。通过平台的使用能从理论、技能层面综合培养学生的各方面能力。</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从贴近教学入手，实现技能相关知识的学习和沉淀，提升学生技能的实战能力和综合运营素质，从知识、技能、素质三个层面实现以下教学目标：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rPr>
        <w:tab/>
      </w:r>
      <w:r>
        <w:rPr>
          <w:rFonts w:hint="eastAsia" w:ascii="宋体" w:hAnsi="宋体" w:cs="宋体"/>
          <w:color w:val="auto"/>
          <w:szCs w:val="21"/>
          <w:highlight w:val="none"/>
        </w:rPr>
        <w:t>知识层面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能熟练掌握汽车检测防护工作站和仿真软件及充电桩专业设备教学质量，以及配合省学测考试和职教高考技能考试的需求以及参加国家大赛需求。</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rPr>
        <w:tab/>
      </w:r>
      <w:r>
        <w:rPr>
          <w:rFonts w:hint="eastAsia" w:ascii="宋体" w:hAnsi="宋体" w:cs="宋体"/>
          <w:color w:val="auto"/>
          <w:szCs w:val="21"/>
          <w:highlight w:val="none"/>
        </w:rPr>
        <w:t>技能层面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在一定程度上提高了学生的实践动手能力和创新能力，能熟练掌握汽车检测防护工作站和仿真软件及充电桩专业实训专业技能，</w:t>
      </w:r>
      <w:bookmarkStart w:id="0" w:name="OLE_LINK14"/>
      <w:bookmarkStart w:id="1" w:name="OLE_LINK15"/>
      <w:r>
        <w:rPr>
          <w:rFonts w:hint="eastAsia" w:ascii="宋体" w:hAnsi="宋体" w:cs="宋体"/>
          <w:color w:val="auto"/>
          <w:szCs w:val="21"/>
          <w:highlight w:val="none"/>
        </w:rPr>
        <w:t>以及配合教学以及省学测考试和职教高考技能考试的需求</w:t>
      </w:r>
      <w:bookmarkEnd w:id="0"/>
      <w:bookmarkEnd w:id="1"/>
      <w:r>
        <w:rPr>
          <w:rFonts w:hint="eastAsia" w:ascii="宋体" w:hAnsi="宋体" w:cs="宋体"/>
          <w:color w:val="auto"/>
          <w:szCs w:val="21"/>
          <w:highlight w:val="none"/>
        </w:rPr>
        <w:t>。</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rPr>
        <w:tab/>
      </w:r>
      <w:r>
        <w:rPr>
          <w:rFonts w:hint="eastAsia" w:ascii="宋体" w:hAnsi="宋体" w:cs="宋体"/>
          <w:color w:val="auto"/>
          <w:szCs w:val="21"/>
          <w:highlight w:val="none"/>
        </w:rPr>
        <w:t>素质层面</w:t>
      </w:r>
    </w:p>
    <w:p>
      <w:pPr>
        <w:spacing w:line="360" w:lineRule="auto"/>
        <w:ind w:firstLine="480" w:firstLineChars="200"/>
        <w:rPr>
          <w:rFonts w:ascii="宋体" w:hAnsi="宋体" w:cs="宋体"/>
          <w:b/>
          <w:color w:val="auto"/>
          <w:szCs w:val="21"/>
          <w:highlight w:val="none"/>
        </w:rPr>
      </w:pPr>
      <w:r>
        <w:rPr>
          <w:rFonts w:hint="eastAsia" w:ascii="宋体" w:hAnsi="宋体" w:cs="宋体"/>
          <w:color w:val="auto"/>
          <w:szCs w:val="21"/>
          <w:highlight w:val="none"/>
        </w:rPr>
        <w:t>能培养学生严谨周密的思维方式、系统化的思维能力、整体运行的全局观、分析和规划设计的能力。</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二、主要标的</w:t>
      </w:r>
    </w:p>
    <w:p>
      <w:pPr>
        <w:spacing w:after="166" w:afterLines="50" w:line="32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1.货物：</w:t>
      </w:r>
    </w:p>
    <w:tbl>
      <w:tblPr>
        <w:tblStyle w:val="25"/>
        <w:tblW w:w="7731"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851"/>
        <w:gridCol w:w="2977"/>
        <w:gridCol w:w="85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977"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850"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368"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汽车检测安全防护工作站</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汽车故障诊断仿真教学软件【吉利几何G6】</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吉利几何G6配套充电桩</w:t>
            </w:r>
          </w:p>
        </w:tc>
        <w:tc>
          <w:tcPr>
            <w:tcW w:w="851"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p>
        </w:tc>
        <w:tc>
          <w:tcPr>
            <w:tcW w:w="850"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color w:val="auto"/>
                <w:highlight w:val="none"/>
              </w:rPr>
            </w:pPr>
            <w:r>
              <w:rPr>
                <w:rFonts w:hint="eastAsia" w:ascii="宋体" w:hAnsi="宋体" w:cs="Times New Roman"/>
                <w:color w:val="auto"/>
                <w:kern w:val="2"/>
                <w:sz w:val="21"/>
                <w:szCs w:val="24"/>
                <w:highlight w:val="none"/>
              </w:rPr>
              <w:t>配套安装调试</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w:t>
            </w:r>
          </w:p>
        </w:tc>
        <w:tc>
          <w:tcPr>
            <w:tcW w:w="2977" w:type="dxa"/>
            <w:vAlign w:val="center"/>
          </w:tcPr>
          <w:p>
            <w:pPr>
              <w:jc w:val="center"/>
              <w:rPr>
                <w:rFonts w:ascii="宋体" w:hAnsi="宋体" w:cs="宋体"/>
                <w:color w:val="auto"/>
                <w:szCs w:val="21"/>
                <w:highlight w:val="none"/>
              </w:rPr>
            </w:pP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bl>
    <w:p>
      <w:pPr>
        <w:shd w:val="clear" w:color="auto" w:fill="FFFFFF"/>
        <w:spacing w:line="320" w:lineRule="exact"/>
        <w:ind w:firstLine="479" w:firstLineChars="199"/>
        <w:rPr>
          <w:rFonts w:ascii="黑体" w:hAnsi="黑体" w:eastAsia="黑体" w:cs="Arial"/>
          <w:b/>
          <w:color w:val="auto"/>
          <w:highlight w:val="none"/>
        </w:rPr>
      </w:pPr>
    </w:p>
    <w:p>
      <w:pPr>
        <w:pStyle w:val="2"/>
        <w:rPr>
          <w:rFonts w:ascii="黑体" w:hAnsi="黑体" w:eastAsia="黑体" w:cs="Arial"/>
          <w:color w:val="auto"/>
          <w:highlight w:val="none"/>
        </w:rPr>
      </w:pPr>
    </w:p>
    <w:p>
      <w:pPr>
        <w:rPr>
          <w:rFonts w:ascii="黑体" w:hAnsi="黑体" w:eastAsia="黑体" w:cs="Arial"/>
          <w:b/>
          <w:color w:val="auto"/>
          <w:highlight w:val="none"/>
        </w:rPr>
      </w:pPr>
    </w:p>
    <w:p>
      <w:pPr>
        <w:pStyle w:val="2"/>
        <w:rPr>
          <w:rFonts w:ascii="黑体" w:hAnsi="黑体" w:eastAsia="黑体" w:cs="Arial"/>
          <w:color w:val="auto"/>
          <w:highlight w:val="none"/>
        </w:rPr>
      </w:pPr>
    </w:p>
    <w:p>
      <w:pPr>
        <w:rPr>
          <w:rFonts w:ascii="黑体" w:hAnsi="黑体" w:eastAsia="黑体" w:cs="Arial"/>
          <w:b/>
          <w:color w:val="auto"/>
          <w:highlight w:val="none"/>
        </w:rPr>
      </w:pPr>
    </w:p>
    <w:p>
      <w:pPr>
        <w:rPr>
          <w:rFonts w:hint="eastAsia"/>
          <w:color w:val="auto"/>
          <w:highlight w:val="none"/>
        </w:rPr>
      </w:pPr>
    </w:p>
    <w:p>
      <w:pPr>
        <w:pStyle w:val="2"/>
        <w:rPr>
          <w:color w:val="auto"/>
          <w:highlight w:val="none"/>
        </w:rPr>
      </w:pP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三、技术要求</w:t>
      </w:r>
    </w:p>
    <w:tbl>
      <w:tblPr>
        <w:tblStyle w:val="25"/>
        <w:tblpPr w:leftFromText="180" w:rightFromText="180" w:vertAnchor="text" w:horzAnchor="page" w:tblpX="1411" w:tblpY="1158"/>
        <w:tblOverlap w:val="never"/>
        <w:tblW w:w="524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0"/>
        <w:gridCol w:w="974"/>
        <w:gridCol w:w="77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D0CECE"/>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515"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名　称</w:t>
            </w:r>
          </w:p>
        </w:tc>
        <w:tc>
          <w:tcPr>
            <w:tcW w:w="4119"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515" w:type="pct"/>
            <w:shd w:val="clear" w:color="auto" w:fill="FFFFFF"/>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Times New Roman"/>
                <w:color w:val="auto"/>
                <w:kern w:val="2"/>
                <w:sz w:val="21"/>
                <w:szCs w:val="24"/>
                <w:highlight w:val="none"/>
              </w:rPr>
              <w:t>汽车检测安全防护工作站</w:t>
            </w:r>
          </w:p>
        </w:tc>
        <w:tc>
          <w:tcPr>
            <w:tcW w:w="7719" w:type="dxa"/>
            <w:shd w:val="clear" w:color="auto" w:fill="FFFFFF"/>
            <w:vAlign w:val="center"/>
          </w:tcPr>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由诊断仪、万用表、手持式示波器、测电笔、数字钳形表、兆欧表、三相交流电相序计组成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515" w:type="pct"/>
            <w:shd w:val="clear" w:color="auto" w:fill="FFFFFF"/>
            <w:vAlign w:val="center"/>
          </w:tcPr>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汽车故障诊断仿真教学软件【吉利几何G6】</w:t>
            </w:r>
          </w:p>
        </w:tc>
        <w:tc>
          <w:tcPr>
            <w:tcW w:w="771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本虚拟实训系统在Windows7/ Windows10/ Windows11等系统上运行具有良好的稳定性能。本虚拟系统较好地实现了网路互动教学、实训等多项功能的管理和部署。您可以网络运行，也可以单机运行。具有教师端管理功能、学生端注册功能，教师端能够管理学生端，并能够添加相关数据。其中学生端具有学校、姓名、学号、密码、手机及邮箱管理功能等。</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1.以国赛吉利几何G6汽车纯电动汽车原车为开发模型，采用先进虚拟现实技术全面系统的模拟国赛了故障诊断的操作过程。教师和学员都适用，教师可以进行示范课讲解，指导学员排除汽车故障，学员也可以使用该软件进行实训模拟诊断考核；</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2.模拟实际工作环境，故障设置丰富多样，可以随机抽取故障也可以手动设置故障。故障诊断实训项目很多。内容主要围绕国赛新能源汽车电动化系统，暖风、通风和空调系统、车辆控制系统、车身电器系统设置“低压供电不正常”、“车辆无法充电”、“高压供电不正常”、“车辆无法正常行驶”、“车辆无暖风或制冷”等五种常见的故障现象为实训学习内容</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5.1灯光电源故障：场景是按照国赛设定的，场景内主要一辆完整吉利几何G6虚拟汽车、PEU电机控制器检测盒、VCU整车控制器检测盒、OBC车载充电器检测盒、BMS电池管理系统检测盒、故障设置设备、充电枪、人物模特、备用蓄电池、灭火器、隔离栏、安全警示牌、查询电脑桌及座椅、新能源专用工具箱、举升机、三件套、故障解码仪等大赛设备；场景UI布局有声音资料模块、操作模块、工具栏选择模块三大块；其中操作模块具有全部步骤、快速学习、操作演示、向上一步、向下一步、重新开始等功能；后台可以设置考核项目、考核时间及统一开始考试控制等；整个故障实训过程其步骤有：①.检查设置隔离栏，②.设置安全警示牌，③.检查绝缘手套的耐压等级，④.检查线手套是否完好，⑤.检查护目镜，⑥.检查安全帽外观有无损伤，⑦穿戴绝缘鞋，⑧.带安全帽等步骤</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5.2 VCU电源故障：场景是按照国赛设定的，场景内主要一辆完整吉利几何G6虚拟汽车、PEU电机控制器检测盒、VCU整车控制器检测盒、OBC车载充电器检测盒、BMS电池管理系统检测盒、故障设置设备、充电枪、人物模特、备用蓄电池、灭火器、隔离栏、安全警示牌、查询电脑桌及座椅、新能源专用工具箱、举升机、三件套、故障解码仪等大赛设备；场景UI布局有声音资料模块、操作模块、工具栏选择模块三大块；其中操作模块具有全部步骤、快速学习、操作演示、向上一步、向下一步、重新开始等功能；后台可以设置考核项目、考核时间及统一开始考试控制等；整个故障实训过程主要有：①.拔出VCU保险丝EF19，②.测量VCU保险丝EF19端子自身电阻值，③.测量VCU保险丝EF19端子与CA66-50端子的电阻，④.确认故障范围排除故障，⑤.读取故障码清楚故障，⑥.检查高压上电是否正常，⑦将相关检测设备放回原处，⑧.清洁打扫现场等步骤</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5.3高压供电不正常故障：场景是按照国赛设定的，场景内主要一辆完整吉利几何G6虚拟汽车、PEU电机控制器检测盒、VCU整车控制器检测盒、OBC车载充电器检测盒、BMS电池管理系统检测盒、故障设置设备、充电枪、人物模特、备用蓄电池、灭火器、隔离栏、安全警示牌、查询电脑桌及座椅、新能源专用工具箱、举升机、三件套、故障解码仪等大赛设备；场景UI布局有声音资料模块、操作模块、工具栏选择模块三大块；其中操作模块具有全部步骤、快速学习、操作演示、向上一步、向下一步、重新开始等功能；后台可以设置考核项目、考核时间及统一开始考试控制等；整个故障实训过程主要有：①.启动键车辆无法上高压电，喇叭响，系统故障警告灯点亮，记录故障现象，②.读取故障码清楚故障，③.测量ER05-86与CA66-51(盒子上)端子的电阻值，④.测量ER05-86与CA66-51(盒子上)端子的电阻值，⑤.故障部位确认和排除方法，⑥.检查高压上电是否正常，⑦将相关检测设备放回原处，⑧.清洁打扫现场等步骤</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5.4高压电源故障：高压供电不正常故障：场景是按照国赛设定的，场景内主要一辆完整吉利几何G6虚拟汽车、PEU电机控制器检测盒、VCU整车控制器检测盒、OBC车载充电器检测盒、BMS电池管理系统检测盒、故障设置设备、充电枪、人物模特、备用蓄电池、灭火器、隔离栏、安全警示牌、查询电脑桌及座椅、新能源专用工具箱、举升机、三件套、故障解码仪等大赛设备；场景UI布局有声音资料模块、操作模块、工具栏选择模块三大块；其中操作模块具有全部步骤、快速学习、操作演示、向上一步、向下一步、重新开始等功能；后台可以设置考核项目、考核时间及统一开始考试控制等；整个故障实训过程主要有：①.测量EF18下游与CA67-96电阻值，②.测量EF02下游与CA67-96电阻值，③.测量EF18自身电阻值，④.测量EF02上游端子的供电电压，⑤.故障部位确认和排除方法，⑥.检查上电是否正常，⑦将相关检测设备放回原处，⑧.清洁打扫现场等步骤。</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3.模拟真实的新能源国赛场景，其中包括整车，举升机，常用工具，零件车，检测设备等等。</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4.软件按照国赛工作流程与工作环境进行了标准化规范制作，在实际维修准备工作中，要具有三角垫块、工具准备、三件套、举升机操作、检查蓄电池电压，检查冷却液、连接诊断仪器等功能；要以第一人称的方式实施操作。</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主要诊断设备有国赛专用新能源汽车诊断仪，示波器、汽车专用万用表等多种检测设备；专用新能源汽车诊断仪能够模拟实际工作中读取故障码、清除故障码，示波器读取动态数据流等。汽车专用万用表可以模拟检测汽车的直流电压、电阻和导通性等等。多种设备都进行模拟实训标准化操作；</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6.软件采用先进的三维虚拟现实引擎技术，可以任意的360度旋转、缩放和平移。友好的操作界面和科学的交互设计，通过鼠标、键盘与计算机的互动，教师可以很轻松备课和示范课的讲解，学员不需要计算机专业的培训，只需轻轻的点击鼠标和按下空格键，即可完成实训操作标准化流程；</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7.维修过程中可以很方便查阅原厂维修资料，主要类型包括PPT、PDF、WORD等资源；可教师学员查询汽车的电路图、技术参数、元件位置、维修方法等；</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8.软件详细的模拟仪表和指示灯的状态，其中仪表模拟主要有驱动电机转速表、水温表和车速表等，指示灯状态包含故障指示灯、制动系统警告灯、ABS防抱死制动系统警告灯、冷却液温度指示灯等</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9.软件自身有带有常用工具和专用工具,只要包括工作台、解码器、万用表、梅花和开口扳手、扭矩扳手等; 常用工具和专用工具都能够进行组合使用；</w:t>
            </w:r>
          </w:p>
          <w:p>
            <w:pPr>
              <w:keepNext w:val="0"/>
              <w:keepLines w:val="0"/>
              <w:pageBreakBefore w:val="0"/>
              <w:widowControl/>
              <w:kinsoku/>
              <w:wordWrap/>
              <w:overflowPunct/>
              <w:topLinePunct w:val="0"/>
              <w:autoSpaceDE/>
              <w:autoSpaceDN/>
              <w:bidi w:val="0"/>
              <w:adjustRightInd/>
              <w:snapToGrid/>
              <w:spacing w:line="336" w:lineRule="auto"/>
              <w:textAlignment w:val="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10.举升机的操作与实际环境完全一样，采用国赛规范动作操作流程细节；有效的预防不安全因素隐患；</w:t>
            </w:r>
          </w:p>
        </w:tc>
      </w:tr>
    </w:tbl>
    <w:p>
      <w:pPr>
        <w:shd w:val="clear" w:color="auto" w:fill="FFFFFF"/>
        <w:spacing w:line="320" w:lineRule="exact"/>
        <w:ind w:firstLine="479" w:firstLineChars="199"/>
        <w:rPr>
          <w:rFonts w:ascii="黑体" w:hAnsi="黑体" w:eastAsia="黑体" w:cs="Arial"/>
          <w:b/>
          <w:color w:val="auto"/>
          <w:highlight w:val="none"/>
        </w:rPr>
      </w:pPr>
      <w:r>
        <w:rPr>
          <w:rFonts w:hint="eastAsia" w:ascii="黑体" w:hAnsi="黑体" w:eastAsia="黑体" w:cs="Arial"/>
          <w:b/>
          <w:color w:val="auto"/>
          <w:highlight w:val="none"/>
        </w:rPr>
        <w:t>四、商务要求</w:t>
      </w:r>
    </w:p>
    <w:tbl>
      <w:tblPr>
        <w:tblStyle w:val="25"/>
        <w:tblpPr w:leftFromText="180" w:rightFromText="180" w:vertAnchor="text" w:horzAnchor="page" w:tblpX="1731" w:tblpY="326"/>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93"/>
        <w:gridCol w:w="7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795"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序号</w:t>
            </w:r>
          </w:p>
        </w:tc>
        <w:tc>
          <w:tcPr>
            <w:tcW w:w="1293"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指标项</w:t>
            </w:r>
          </w:p>
        </w:tc>
        <w:tc>
          <w:tcPr>
            <w:tcW w:w="7030"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最高限价</w:t>
            </w:r>
          </w:p>
        </w:tc>
        <w:tc>
          <w:tcPr>
            <w:tcW w:w="7030" w:type="dxa"/>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b/>
                <w:bCs/>
                <w:snapToGrid w:val="0"/>
                <w:color w:val="auto"/>
                <w:szCs w:val="21"/>
                <w:highlight w:val="none"/>
              </w:rPr>
              <w:t>36</w:t>
            </w:r>
            <w:r>
              <w:rPr>
                <w:rFonts w:hint="eastAsia" w:ascii="宋体" w:hAnsi="宋体" w:cs="宋体"/>
                <w:b/>
                <w:bCs/>
                <w:snapToGrid w:val="0"/>
                <w:color w:val="auto"/>
                <w:szCs w:val="21"/>
                <w:highlight w:val="none"/>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2</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en-US" w:eastAsia="zh-CN"/>
              </w:rPr>
              <w:t>交 货 期</w:t>
            </w:r>
          </w:p>
        </w:tc>
        <w:tc>
          <w:tcPr>
            <w:tcW w:w="7030" w:type="dxa"/>
            <w:vAlign w:val="top"/>
          </w:tcPr>
          <w:p>
            <w:pPr>
              <w:tabs>
                <w:tab w:val="left" w:pos="2270"/>
                <w:tab w:val="center" w:pos="3467"/>
              </w:tabs>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en-US" w:eastAsia="zh-CN"/>
              </w:rPr>
              <w:t>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3</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服务标准/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售后服务要求</w:t>
            </w:r>
          </w:p>
        </w:tc>
        <w:tc>
          <w:tcPr>
            <w:tcW w:w="7030" w:type="dxa"/>
          </w:tcPr>
          <w:p>
            <w:pPr>
              <w:autoSpaceDE w:val="0"/>
              <w:autoSpaceDN w:val="0"/>
              <w:adjustRightInd w:val="0"/>
              <w:snapToGrid w:val="0"/>
              <w:spacing w:line="320" w:lineRule="exact"/>
              <w:rPr>
                <w:rFonts w:ascii="宋体" w:hAnsi="宋体" w:cs="宋体"/>
                <w:iCs/>
                <w:snapToGrid w:val="0"/>
                <w:color w:val="auto"/>
                <w:szCs w:val="21"/>
                <w:highlight w:val="none"/>
                <w:lang w:val="zh-CN"/>
              </w:rPr>
            </w:pPr>
            <w:r>
              <w:rPr>
                <w:rFonts w:hint="eastAsia" w:ascii="宋体" w:hAnsi="宋体" w:cs="宋体"/>
                <w:iCs/>
                <w:snapToGrid w:val="0"/>
                <w:color w:val="auto"/>
                <w:szCs w:val="21"/>
                <w:highlight w:val="none"/>
                <w:lang w:val="zh-CN"/>
              </w:rPr>
              <w:t>供应商提供免费二年原厂运行维保服务，包含且不限商品的业务培训、版本升级、题库更新、故障解决等。二年履约期结束后，供应商可以提供收费运维服务具体金额双方友好协商，若产品有版本升级收取成本费。</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供应商保证所供商品在二年履约期中发生故障时，最迟在贰个工作日内修复，必要时采取临时调换等措施，以保证采购方的正常工作。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4</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验收标准</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符合上述技术要求且正常运行。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5</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付款方式</w:t>
            </w:r>
          </w:p>
        </w:tc>
        <w:tc>
          <w:tcPr>
            <w:tcW w:w="7030" w:type="dxa"/>
          </w:tcPr>
          <w:p>
            <w:pPr>
              <w:autoSpaceDE w:val="0"/>
              <w:autoSpaceDN w:val="0"/>
              <w:adjustRightInd w:val="0"/>
              <w:snapToGrid w:val="0"/>
              <w:spacing w:line="320" w:lineRule="exact"/>
              <w:rPr>
                <w:rFonts w:ascii="宋体" w:hAnsi="宋体" w:cs="宋体"/>
                <w:iCs/>
                <w:snapToGrid w:val="0"/>
                <w:color w:val="auto"/>
                <w:szCs w:val="21"/>
                <w:highlight w:val="none"/>
                <w:lang w:val="zh-CN"/>
              </w:rPr>
            </w:pPr>
            <w:r>
              <w:rPr>
                <w:rFonts w:hint="eastAsia" w:ascii="宋体" w:hAnsi="宋体" w:eastAsia="宋体" w:cs="宋体"/>
                <w:iCs/>
                <w:snapToGrid w:val="0"/>
                <w:color w:val="auto"/>
                <w:szCs w:val="21"/>
                <w:highlight w:val="none"/>
                <w:lang w:val="zh-CN"/>
              </w:rPr>
              <w:t>双方盖章合同生效，合同生效5日内甲方给乙方支付30%预付款，货到甲方现场7日内，甲方给乙方付至合同金额的80%，安装调试完</w:t>
            </w:r>
            <w:r>
              <w:rPr>
                <w:rFonts w:hint="eastAsia" w:ascii="宋体" w:hAnsi="宋体" w:eastAsia="宋体" w:cs="宋体"/>
                <w:iCs/>
                <w:snapToGrid w:val="0"/>
                <w:color w:val="auto"/>
                <w:szCs w:val="21"/>
                <w:highlight w:val="none"/>
                <w:lang w:val="en-US" w:eastAsia="zh-CN"/>
              </w:rPr>
              <w:t>成后并通过校方组织技术人员验收合格后付清余款</w:t>
            </w:r>
            <w:r>
              <w:rPr>
                <w:rFonts w:hint="eastAsia" w:ascii="宋体" w:hAnsi="宋体" w:eastAsia="宋体" w:cs="宋体"/>
                <w:iCs/>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6</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拟采用</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采购方式</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委托代理采购，竞争性谈判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7</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供应商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资质</w:t>
            </w:r>
          </w:p>
        </w:tc>
        <w:tc>
          <w:tcPr>
            <w:tcW w:w="7030" w:type="dxa"/>
            <w:vAlign w:val="center"/>
          </w:tcPr>
          <w:p>
            <w:pPr>
              <w:numPr>
                <w:ilvl w:val="0"/>
                <w:numId w:val="0"/>
              </w:numPr>
              <w:outlineLvl w:val="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Cs w:val="21"/>
                <w:highlight w:val="none"/>
                <w:lang w:val="en-US" w:eastAsia="zh-CN"/>
              </w:rPr>
              <w:t>1.</w:t>
            </w:r>
            <w:r>
              <w:rPr>
                <w:rFonts w:hint="eastAsia" w:ascii="宋体" w:hAnsi="宋体" w:cs="宋体"/>
                <w:snapToGrid w:val="0"/>
                <w:color w:val="auto"/>
                <w:szCs w:val="21"/>
                <w:highlight w:val="none"/>
                <w:lang w:val="zh-CN"/>
              </w:rPr>
              <w:t>具备《中华人民共和国政府采购法》第二十二条第一款规定的6项条件（按要求提供投标声明及承诺书）；</w:t>
            </w:r>
            <w:r>
              <w:rPr>
                <w:rFonts w:ascii="宋体" w:hAnsi="宋体" w:cs="宋体"/>
                <w:snapToGrid w:val="0"/>
                <w:color w:val="auto"/>
                <w:szCs w:val="21"/>
                <w:highlight w:val="none"/>
                <w:lang w:val="zh-CN"/>
              </w:rPr>
              <w:br w:type="textWrapping"/>
            </w:r>
            <w:r>
              <w:rPr>
                <w:rFonts w:hint="eastAsia" w:ascii="宋体" w:hAnsi="宋体" w:cs="宋体"/>
                <w:snapToGrid w:val="0"/>
                <w:color w:val="auto"/>
                <w:szCs w:val="21"/>
                <w:highlight w:val="none"/>
                <w:lang w:val="zh-CN"/>
              </w:rPr>
              <w:t>2</w:t>
            </w:r>
            <w:r>
              <w:rPr>
                <w:rFonts w:ascii="宋体" w:hAnsi="宋体" w:cs="宋体"/>
                <w:snapToGrid w:val="0"/>
                <w:color w:val="auto"/>
                <w:szCs w:val="21"/>
                <w:highlight w:val="none"/>
                <w:lang w:val="zh-CN"/>
              </w:rPr>
              <w:t>.</w:t>
            </w:r>
            <w:r>
              <w:rPr>
                <w:rFonts w:hint="eastAsia" w:ascii="宋体" w:hAnsi="宋体" w:cs="宋体"/>
                <w:snapToGrid w:val="0"/>
                <w:color w:val="auto"/>
                <w:szCs w:val="21"/>
                <w:highlight w:val="none"/>
                <w:lang w:val="zh-CN"/>
              </w:rPr>
              <w:t>落实政府采购政策需满足的资格要求：</w:t>
            </w:r>
            <w:r>
              <w:rPr>
                <w:rFonts w:hint="eastAsia" w:ascii="宋体" w:hAnsi="宋体" w:eastAsia="宋体" w:cs="宋体"/>
                <w:color w:val="auto"/>
                <w:sz w:val="24"/>
                <w:szCs w:val="24"/>
                <w:highlight w:val="none"/>
                <w:lang w:val="en-US" w:eastAsia="zh-CN"/>
              </w:rPr>
              <w:t>此项目属于专门面向中小微企业采购的项目，供应商所提供的货物全部由符合政策要求的中小企业制造，供应商提供的货物的制造商应全部为中小微企业、监狱企业、残疾人福利性单位；</w:t>
            </w:r>
          </w:p>
          <w:p>
            <w:pPr>
              <w:numPr>
                <w:ilvl w:val="0"/>
                <w:numId w:val="0"/>
              </w:numPr>
              <w:outlineLvl w:val="0"/>
              <w:rPr>
                <w:rFonts w:ascii="宋体" w:hAnsi="宋体" w:cs="宋体"/>
                <w:snapToGrid w:val="0"/>
                <w:color w:val="auto"/>
                <w:szCs w:val="21"/>
                <w:highlight w:val="none"/>
                <w:lang w:val="zh-CN"/>
              </w:rPr>
            </w:pPr>
            <w:r>
              <w:rPr>
                <w:rFonts w:hint="eastAsia" w:ascii="宋体" w:hAnsi="宋体" w:cs="宋体"/>
                <w:b/>
                <w:color w:val="auto"/>
                <w:szCs w:val="24"/>
                <w:highlight w:val="none"/>
                <w:lang w:val="en-US" w:eastAsia="zh-CN"/>
              </w:rPr>
              <w:t>3.</w:t>
            </w:r>
            <w:r>
              <w:rPr>
                <w:rFonts w:hint="eastAsia" w:ascii="宋体" w:hAnsi="宋体" w:cs="宋体"/>
                <w:b/>
                <w:color w:val="auto"/>
                <w:szCs w:val="24"/>
                <w:highlight w:val="none"/>
              </w:rPr>
              <w:t>供应商的特殊要求：无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8</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合同履约时间、地点</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乙方在合同签订后</w:t>
            </w:r>
            <w:r>
              <w:rPr>
                <w:rFonts w:hint="eastAsia" w:ascii="宋体" w:hAnsi="宋体" w:cs="宋体"/>
                <w:snapToGrid w:val="0"/>
                <w:color w:val="auto"/>
                <w:szCs w:val="21"/>
                <w:highlight w:val="none"/>
                <w:lang w:val="en-US" w:eastAsia="zh-CN"/>
              </w:rPr>
              <w:t>15日历天</w:t>
            </w:r>
            <w:r>
              <w:rPr>
                <w:rFonts w:hint="eastAsia" w:ascii="宋体" w:hAnsi="宋体" w:cs="宋体"/>
                <w:snapToGrid w:val="0"/>
                <w:color w:val="auto"/>
                <w:szCs w:val="21"/>
                <w:highlight w:val="none"/>
                <w:lang w:val="zh-CN"/>
              </w:rPr>
              <w:t>，完成产品交付。</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地点：江苏省</w:t>
            </w:r>
            <w:r>
              <w:rPr>
                <w:rFonts w:hint="eastAsia" w:ascii="宋体" w:hAnsi="宋体" w:cs="宋体"/>
                <w:snapToGrid w:val="0"/>
                <w:color w:val="auto"/>
                <w:szCs w:val="21"/>
                <w:highlight w:val="none"/>
              </w:rPr>
              <w:t>邳州中等专业</w:t>
            </w:r>
            <w:r>
              <w:rPr>
                <w:rFonts w:hint="eastAsia" w:ascii="宋体" w:hAnsi="宋体" w:cs="宋体"/>
                <w:snapToGrid w:val="0"/>
                <w:color w:val="auto"/>
                <w:szCs w:val="21"/>
                <w:highlight w:val="none"/>
                <w:lang w:val="zh-CN"/>
              </w:rPr>
              <w:t>学校，</w:t>
            </w:r>
            <w:r>
              <w:rPr>
                <w:rFonts w:hint="eastAsia" w:ascii="宋体" w:hAnsi="宋体" w:cs="宋体"/>
                <w:snapToGrid w:val="0"/>
                <w:color w:val="auto"/>
                <w:szCs w:val="21"/>
                <w:highlight w:val="none"/>
              </w:rPr>
              <w:t>江苏省徐州市邳州市辽河路与陇海大道交岔口东北侧</w:t>
            </w:r>
            <w:r>
              <w:rPr>
                <w:rFonts w:hint="eastAsia" w:ascii="宋体" w:hAnsi="宋体" w:cs="宋体"/>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9</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服务期限</w:t>
            </w:r>
          </w:p>
        </w:tc>
        <w:tc>
          <w:tcPr>
            <w:tcW w:w="7030"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lang w:val="zh-CN"/>
              </w:rPr>
              <w:t>本项目服务期限为</w:t>
            </w:r>
            <w:r>
              <w:rPr>
                <w:rFonts w:ascii="宋体" w:hAnsi="宋体" w:cs="宋体"/>
                <w:snapToGrid w:val="0"/>
                <w:color w:val="auto"/>
                <w:szCs w:val="21"/>
                <w:highlight w:val="none"/>
                <w:lang w:val="zh-CN"/>
              </w:rPr>
              <w:t>2</w:t>
            </w:r>
            <w:r>
              <w:rPr>
                <w:rFonts w:hint="eastAsia" w:ascii="宋体" w:hAnsi="宋体" w:cs="宋体"/>
                <w:snapToGrid w:val="0"/>
                <w:color w:val="auto"/>
                <w:szCs w:val="21"/>
                <w:highlight w:val="none"/>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10</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合同条款</w:t>
            </w:r>
          </w:p>
        </w:tc>
        <w:tc>
          <w:tcPr>
            <w:tcW w:w="7030" w:type="dxa"/>
          </w:tcPr>
          <w:p>
            <w:pPr>
              <w:autoSpaceDE w:val="0"/>
              <w:autoSpaceDN w:val="0"/>
              <w:adjustRightInd w:val="0"/>
              <w:snapToGrid w:val="0"/>
              <w:spacing w:line="276" w:lineRule="auto"/>
              <w:ind w:firstLine="480" w:firstLineChars="200"/>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主要包含采购商品清单、质量保证、交货时间地点、售后服务、验收、履约保证金、付款方式、违约责任等内容。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其它要求</w:t>
            </w:r>
          </w:p>
        </w:tc>
        <w:tc>
          <w:tcPr>
            <w:tcW w:w="7030" w:type="dxa"/>
          </w:tcPr>
          <w:p>
            <w:pPr>
              <w:autoSpaceDE w:val="0"/>
              <w:autoSpaceDN w:val="0"/>
              <w:adjustRightInd w:val="0"/>
              <w:snapToGrid w:val="0"/>
              <w:spacing w:line="276" w:lineRule="auto"/>
              <w:rPr>
                <w:rFonts w:ascii="宋体" w:hAnsi="宋体" w:cs="宋体"/>
                <w:snapToGrid w:val="0"/>
                <w:color w:val="auto"/>
                <w:szCs w:val="21"/>
                <w:highlight w:val="none"/>
              </w:rPr>
            </w:pPr>
          </w:p>
        </w:tc>
      </w:tr>
    </w:tbl>
    <w:p>
      <w:pPr>
        <w:pStyle w:val="9"/>
        <w:ind w:firstLine="480" w:firstLineChars="200"/>
        <w:rPr>
          <w:rFonts w:ascii="宋体" w:hAnsi="宋体" w:eastAsia="宋体" w:cs="宋体"/>
          <w:color w:val="auto"/>
          <w:sz w:val="24"/>
          <w:szCs w:val="21"/>
          <w:highlight w:val="none"/>
        </w:rPr>
      </w:pPr>
    </w:p>
    <w:sectPr>
      <w:footerReference r:id="rId3" w:type="default"/>
      <w:pgSz w:w="11906" w:h="16838"/>
      <w:pgMar w:top="1417" w:right="1466" w:bottom="1417" w:left="1560" w:header="851" w:footer="992"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简楷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X0Qq7LAQAAl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MVB782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l9EKuywEAAJcDAAAOAAAAAAAAAAEAIAAAACIBAABkcnMv&#10;ZTJvRG9jLnhtbFBLBQYAAAAABgAGAFkBAABfBQAAAAA=&#10;">
              <v:fill on="f" focussize="0,0"/>
              <v:stroke on="f" weight="1.2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56"/>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iY2M2ZmVkYmIzMjMxNjhmODRiOGE5YjMyN2U3YzcifQ=="/>
    <w:docVar w:name="KSO_WPS_MARK_KEY" w:val="f19b05ed-f07e-4ff0-bd9d-145c55bf2c5d"/>
  </w:docVars>
  <w:rsids>
    <w:rsidRoot w:val="00172A27"/>
    <w:rsid w:val="00014532"/>
    <w:rsid w:val="00017B49"/>
    <w:rsid w:val="00021B72"/>
    <w:rsid w:val="00024F00"/>
    <w:rsid w:val="00036290"/>
    <w:rsid w:val="000679EC"/>
    <w:rsid w:val="00075951"/>
    <w:rsid w:val="000A044C"/>
    <w:rsid w:val="000A0BC9"/>
    <w:rsid w:val="000A652C"/>
    <w:rsid w:val="000B31DF"/>
    <w:rsid w:val="000C2575"/>
    <w:rsid w:val="000D0078"/>
    <w:rsid w:val="000D5FAE"/>
    <w:rsid w:val="000D7DCB"/>
    <w:rsid w:val="000D7EC0"/>
    <w:rsid w:val="000F1E77"/>
    <w:rsid w:val="000F2521"/>
    <w:rsid w:val="000F65B9"/>
    <w:rsid w:val="00133C91"/>
    <w:rsid w:val="00166F9E"/>
    <w:rsid w:val="00172A27"/>
    <w:rsid w:val="00172F14"/>
    <w:rsid w:val="0018305D"/>
    <w:rsid w:val="00186847"/>
    <w:rsid w:val="001904BD"/>
    <w:rsid w:val="00191E52"/>
    <w:rsid w:val="00196EBE"/>
    <w:rsid w:val="001A3A87"/>
    <w:rsid w:val="001C478D"/>
    <w:rsid w:val="001D18BD"/>
    <w:rsid w:val="001D5625"/>
    <w:rsid w:val="0021245C"/>
    <w:rsid w:val="00234F3C"/>
    <w:rsid w:val="0023561C"/>
    <w:rsid w:val="00247180"/>
    <w:rsid w:val="00250ECA"/>
    <w:rsid w:val="00251209"/>
    <w:rsid w:val="0025473A"/>
    <w:rsid w:val="00264EA9"/>
    <w:rsid w:val="0027082C"/>
    <w:rsid w:val="002735B0"/>
    <w:rsid w:val="00277AE5"/>
    <w:rsid w:val="002A4619"/>
    <w:rsid w:val="002B1D4B"/>
    <w:rsid w:val="002B4DF0"/>
    <w:rsid w:val="002C7CAB"/>
    <w:rsid w:val="002D23E5"/>
    <w:rsid w:val="0032062C"/>
    <w:rsid w:val="00322CE7"/>
    <w:rsid w:val="00323221"/>
    <w:rsid w:val="003256A2"/>
    <w:rsid w:val="003805C1"/>
    <w:rsid w:val="0038761E"/>
    <w:rsid w:val="0039172D"/>
    <w:rsid w:val="003A0C1D"/>
    <w:rsid w:val="003A4CB4"/>
    <w:rsid w:val="003C15CC"/>
    <w:rsid w:val="003C4BB6"/>
    <w:rsid w:val="00406B78"/>
    <w:rsid w:val="00441800"/>
    <w:rsid w:val="004523CB"/>
    <w:rsid w:val="0046387F"/>
    <w:rsid w:val="00466E83"/>
    <w:rsid w:val="004765FD"/>
    <w:rsid w:val="00481F73"/>
    <w:rsid w:val="004A448E"/>
    <w:rsid w:val="004B2F01"/>
    <w:rsid w:val="004C560E"/>
    <w:rsid w:val="004D5328"/>
    <w:rsid w:val="004E095F"/>
    <w:rsid w:val="004E1C69"/>
    <w:rsid w:val="004E2909"/>
    <w:rsid w:val="004F70B0"/>
    <w:rsid w:val="00507BC5"/>
    <w:rsid w:val="00522059"/>
    <w:rsid w:val="00534BAD"/>
    <w:rsid w:val="00535B7D"/>
    <w:rsid w:val="005465FC"/>
    <w:rsid w:val="00550B34"/>
    <w:rsid w:val="0055134D"/>
    <w:rsid w:val="005528D1"/>
    <w:rsid w:val="0055292E"/>
    <w:rsid w:val="00552C58"/>
    <w:rsid w:val="005A6574"/>
    <w:rsid w:val="005C047D"/>
    <w:rsid w:val="005C1399"/>
    <w:rsid w:val="005C2B51"/>
    <w:rsid w:val="005D1BB8"/>
    <w:rsid w:val="005D6E58"/>
    <w:rsid w:val="005F6108"/>
    <w:rsid w:val="00601F3E"/>
    <w:rsid w:val="00602E13"/>
    <w:rsid w:val="00604D90"/>
    <w:rsid w:val="00670B88"/>
    <w:rsid w:val="00673155"/>
    <w:rsid w:val="006766D6"/>
    <w:rsid w:val="00676EAF"/>
    <w:rsid w:val="00697F5E"/>
    <w:rsid w:val="006B766A"/>
    <w:rsid w:val="006C747E"/>
    <w:rsid w:val="006D1AEB"/>
    <w:rsid w:val="006D3927"/>
    <w:rsid w:val="006E32C4"/>
    <w:rsid w:val="006E45D9"/>
    <w:rsid w:val="00705571"/>
    <w:rsid w:val="00727DC7"/>
    <w:rsid w:val="00742B74"/>
    <w:rsid w:val="00745DB4"/>
    <w:rsid w:val="007805CE"/>
    <w:rsid w:val="00785D19"/>
    <w:rsid w:val="00791695"/>
    <w:rsid w:val="007A18A3"/>
    <w:rsid w:val="007B0A32"/>
    <w:rsid w:val="007B0D6F"/>
    <w:rsid w:val="007B7DAA"/>
    <w:rsid w:val="007D7D80"/>
    <w:rsid w:val="007E40ED"/>
    <w:rsid w:val="007E5328"/>
    <w:rsid w:val="007F40B6"/>
    <w:rsid w:val="00801316"/>
    <w:rsid w:val="00807CA3"/>
    <w:rsid w:val="0081287C"/>
    <w:rsid w:val="00816DF4"/>
    <w:rsid w:val="00845338"/>
    <w:rsid w:val="00883599"/>
    <w:rsid w:val="00885D7F"/>
    <w:rsid w:val="008C0D74"/>
    <w:rsid w:val="008E41E7"/>
    <w:rsid w:val="008E480D"/>
    <w:rsid w:val="00901D8B"/>
    <w:rsid w:val="00922002"/>
    <w:rsid w:val="00927AB1"/>
    <w:rsid w:val="00931BCC"/>
    <w:rsid w:val="00953C65"/>
    <w:rsid w:val="009618C1"/>
    <w:rsid w:val="00964CE6"/>
    <w:rsid w:val="009717C7"/>
    <w:rsid w:val="009832A7"/>
    <w:rsid w:val="0099058B"/>
    <w:rsid w:val="00997ED1"/>
    <w:rsid w:val="009A0589"/>
    <w:rsid w:val="009A6DE6"/>
    <w:rsid w:val="009C2877"/>
    <w:rsid w:val="009E40CB"/>
    <w:rsid w:val="009E4AC4"/>
    <w:rsid w:val="009E64E8"/>
    <w:rsid w:val="009E6CBA"/>
    <w:rsid w:val="009F75BB"/>
    <w:rsid w:val="00A031B8"/>
    <w:rsid w:val="00A0332B"/>
    <w:rsid w:val="00A04E52"/>
    <w:rsid w:val="00A12A87"/>
    <w:rsid w:val="00A201BC"/>
    <w:rsid w:val="00A35FE3"/>
    <w:rsid w:val="00A431BC"/>
    <w:rsid w:val="00A43795"/>
    <w:rsid w:val="00A57963"/>
    <w:rsid w:val="00A75959"/>
    <w:rsid w:val="00A77994"/>
    <w:rsid w:val="00A8282F"/>
    <w:rsid w:val="00A8795B"/>
    <w:rsid w:val="00AA3212"/>
    <w:rsid w:val="00AB6B79"/>
    <w:rsid w:val="00AD5920"/>
    <w:rsid w:val="00AE510C"/>
    <w:rsid w:val="00AF0AB5"/>
    <w:rsid w:val="00AF7E5F"/>
    <w:rsid w:val="00B20F6E"/>
    <w:rsid w:val="00B356E1"/>
    <w:rsid w:val="00B43AA6"/>
    <w:rsid w:val="00B440A2"/>
    <w:rsid w:val="00B44AE0"/>
    <w:rsid w:val="00B44D16"/>
    <w:rsid w:val="00B53CD2"/>
    <w:rsid w:val="00B57CF2"/>
    <w:rsid w:val="00B90418"/>
    <w:rsid w:val="00B976D6"/>
    <w:rsid w:val="00BB357E"/>
    <w:rsid w:val="00BB4B00"/>
    <w:rsid w:val="00BE1528"/>
    <w:rsid w:val="00BE1653"/>
    <w:rsid w:val="00BF27C6"/>
    <w:rsid w:val="00BF4B00"/>
    <w:rsid w:val="00C16407"/>
    <w:rsid w:val="00C202DD"/>
    <w:rsid w:val="00C22813"/>
    <w:rsid w:val="00C265D1"/>
    <w:rsid w:val="00C26F49"/>
    <w:rsid w:val="00C44B96"/>
    <w:rsid w:val="00C4606D"/>
    <w:rsid w:val="00C61C57"/>
    <w:rsid w:val="00C63757"/>
    <w:rsid w:val="00C63773"/>
    <w:rsid w:val="00C76C79"/>
    <w:rsid w:val="00C834DB"/>
    <w:rsid w:val="00C83A24"/>
    <w:rsid w:val="00C96EE4"/>
    <w:rsid w:val="00CB0916"/>
    <w:rsid w:val="00CB4444"/>
    <w:rsid w:val="00CB70E9"/>
    <w:rsid w:val="00CC4C97"/>
    <w:rsid w:val="00CD4470"/>
    <w:rsid w:val="00CD5703"/>
    <w:rsid w:val="00CE4821"/>
    <w:rsid w:val="00CE6908"/>
    <w:rsid w:val="00CF48E1"/>
    <w:rsid w:val="00CF6B8A"/>
    <w:rsid w:val="00D10967"/>
    <w:rsid w:val="00D17852"/>
    <w:rsid w:val="00D378C2"/>
    <w:rsid w:val="00D4136D"/>
    <w:rsid w:val="00D50BB2"/>
    <w:rsid w:val="00D62229"/>
    <w:rsid w:val="00D75393"/>
    <w:rsid w:val="00D8224E"/>
    <w:rsid w:val="00D823E3"/>
    <w:rsid w:val="00D962F1"/>
    <w:rsid w:val="00DA0089"/>
    <w:rsid w:val="00DB7D21"/>
    <w:rsid w:val="00DC5250"/>
    <w:rsid w:val="00DF096D"/>
    <w:rsid w:val="00DF0C8A"/>
    <w:rsid w:val="00DF0E06"/>
    <w:rsid w:val="00DF4377"/>
    <w:rsid w:val="00E02F27"/>
    <w:rsid w:val="00E03463"/>
    <w:rsid w:val="00E04E70"/>
    <w:rsid w:val="00E05FC6"/>
    <w:rsid w:val="00E1359F"/>
    <w:rsid w:val="00E13B02"/>
    <w:rsid w:val="00E225C4"/>
    <w:rsid w:val="00E316D0"/>
    <w:rsid w:val="00E54D62"/>
    <w:rsid w:val="00E77267"/>
    <w:rsid w:val="00E81E39"/>
    <w:rsid w:val="00E840AD"/>
    <w:rsid w:val="00EB4573"/>
    <w:rsid w:val="00EC6776"/>
    <w:rsid w:val="00EC6B19"/>
    <w:rsid w:val="00F04BE3"/>
    <w:rsid w:val="00F13A0D"/>
    <w:rsid w:val="00F1789C"/>
    <w:rsid w:val="00F21EC9"/>
    <w:rsid w:val="00F470DB"/>
    <w:rsid w:val="00F820E9"/>
    <w:rsid w:val="00F87B1D"/>
    <w:rsid w:val="00FB12E7"/>
    <w:rsid w:val="00FD045B"/>
    <w:rsid w:val="00FE0C4F"/>
    <w:rsid w:val="00FE3A0F"/>
    <w:rsid w:val="00FE642D"/>
    <w:rsid w:val="00FE67CB"/>
    <w:rsid w:val="00FF042C"/>
    <w:rsid w:val="00FF132E"/>
    <w:rsid w:val="00FF4A53"/>
    <w:rsid w:val="013D016B"/>
    <w:rsid w:val="01553EAC"/>
    <w:rsid w:val="016B76DA"/>
    <w:rsid w:val="01BF13A6"/>
    <w:rsid w:val="01EE66A4"/>
    <w:rsid w:val="01F06E11"/>
    <w:rsid w:val="02144BFA"/>
    <w:rsid w:val="027809B9"/>
    <w:rsid w:val="028D2FBF"/>
    <w:rsid w:val="02B32B64"/>
    <w:rsid w:val="02C75509"/>
    <w:rsid w:val="02F67802"/>
    <w:rsid w:val="02FA5B72"/>
    <w:rsid w:val="03001DCC"/>
    <w:rsid w:val="030D774D"/>
    <w:rsid w:val="032D23B8"/>
    <w:rsid w:val="033C3C53"/>
    <w:rsid w:val="035C6295"/>
    <w:rsid w:val="036F5C47"/>
    <w:rsid w:val="03881849"/>
    <w:rsid w:val="03BC5D49"/>
    <w:rsid w:val="03C72148"/>
    <w:rsid w:val="03CC68F5"/>
    <w:rsid w:val="03D54151"/>
    <w:rsid w:val="04220779"/>
    <w:rsid w:val="04353CB7"/>
    <w:rsid w:val="04495D75"/>
    <w:rsid w:val="04855147"/>
    <w:rsid w:val="049D7516"/>
    <w:rsid w:val="04B31AF4"/>
    <w:rsid w:val="04D1473A"/>
    <w:rsid w:val="04D61EAD"/>
    <w:rsid w:val="050A7850"/>
    <w:rsid w:val="059716B5"/>
    <w:rsid w:val="05A81851"/>
    <w:rsid w:val="05CC1CBC"/>
    <w:rsid w:val="05E24085"/>
    <w:rsid w:val="05F354CF"/>
    <w:rsid w:val="05F72D72"/>
    <w:rsid w:val="05FA4E5A"/>
    <w:rsid w:val="05FE2A0D"/>
    <w:rsid w:val="060B165B"/>
    <w:rsid w:val="06362B15"/>
    <w:rsid w:val="06463EB9"/>
    <w:rsid w:val="06D5548B"/>
    <w:rsid w:val="06D95393"/>
    <w:rsid w:val="06FD4A61"/>
    <w:rsid w:val="070E2C56"/>
    <w:rsid w:val="075D3D6E"/>
    <w:rsid w:val="07636CEE"/>
    <w:rsid w:val="076616B4"/>
    <w:rsid w:val="07CE0E77"/>
    <w:rsid w:val="07E960F2"/>
    <w:rsid w:val="07E9750A"/>
    <w:rsid w:val="08041008"/>
    <w:rsid w:val="08293582"/>
    <w:rsid w:val="083E1F86"/>
    <w:rsid w:val="084B6BD3"/>
    <w:rsid w:val="08964D18"/>
    <w:rsid w:val="08A81E8E"/>
    <w:rsid w:val="08A953EB"/>
    <w:rsid w:val="08BF34EA"/>
    <w:rsid w:val="08CB01CD"/>
    <w:rsid w:val="08DE7AA1"/>
    <w:rsid w:val="08F224CC"/>
    <w:rsid w:val="09652455"/>
    <w:rsid w:val="09C049FF"/>
    <w:rsid w:val="09D81C3A"/>
    <w:rsid w:val="09E27CC3"/>
    <w:rsid w:val="0A095EAE"/>
    <w:rsid w:val="0A21436D"/>
    <w:rsid w:val="0A220069"/>
    <w:rsid w:val="0A554699"/>
    <w:rsid w:val="0A8943FF"/>
    <w:rsid w:val="0AAB7478"/>
    <w:rsid w:val="0AC63EEB"/>
    <w:rsid w:val="0ADC3B43"/>
    <w:rsid w:val="0AE62FA8"/>
    <w:rsid w:val="0AF408A3"/>
    <w:rsid w:val="0AFE62A4"/>
    <w:rsid w:val="0B1D2727"/>
    <w:rsid w:val="0B3771E9"/>
    <w:rsid w:val="0B475C2E"/>
    <w:rsid w:val="0B7C30DD"/>
    <w:rsid w:val="0BA561C5"/>
    <w:rsid w:val="0BBB0ACD"/>
    <w:rsid w:val="0BE2658C"/>
    <w:rsid w:val="0C0176DC"/>
    <w:rsid w:val="0C0D4B25"/>
    <w:rsid w:val="0C3B0157"/>
    <w:rsid w:val="0C9E4CF5"/>
    <w:rsid w:val="0D0D5AED"/>
    <w:rsid w:val="0D4A445F"/>
    <w:rsid w:val="0D8717D3"/>
    <w:rsid w:val="0D936E6E"/>
    <w:rsid w:val="0DF1543E"/>
    <w:rsid w:val="0E325C09"/>
    <w:rsid w:val="0E540C10"/>
    <w:rsid w:val="0E5713F9"/>
    <w:rsid w:val="0E822FF4"/>
    <w:rsid w:val="0EB54050"/>
    <w:rsid w:val="0F0E7940"/>
    <w:rsid w:val="0F2A5028"/>
    <w:rsid w:val="0F480C20"/>
    <w:rsid w:val="0F4C03BA"/>
    <w:rsid w:val="0F631D74"/>
    <w:rsid w:val="0F7937ED"/>
    <w:rsid w:val="0F7D5767"/>
    <w:rsid w:val="0F882027"/>
    <w:rsid w:val="0FAA3A9B"/>
    <w:rsid w:val="0FAD1483"/>
    <w:rsid w:val="10077B35"/>
    <w:rsid w:val="100F1A5B"/>
    <w:rsid w:val="106458A4"/>
    <w:rsid w:val="10BC311F"/>
    <w:rsid w:val="10D8730C"/>
    <w:rsid w:val="10DE4BE5"/>
    <w:rsid w:val="10FC0382"/>
    <w:rsid w:val="11740C7A"/>
    <w:rsid w:val="11786333"/>
    <w:rsid w:val="1184609E"/>
    <w:rsid w:val="1197075A"/>
    <w:rsid w:val="11BC6833"/>
    <w:rsid w:val="11CE540F"/>
    <w:rsid w:val="11EF29E0"/>
    <w:rsid w:val="128257D0"/>
    <w:rsid w:val="131F3D3D"/>
    <w:rsid w:val="1361143D"/>
    <w:rsid w:val="13E35118"/>
    <w:rsid w:val="13E52B7C"/>
    <w:rsid w:val="14033156"/>
    <w:rsid w:val="140753F8"/>
    <w:rsid w:val="14193604"/>
    <w:rsid w:val="141D437D"/>
    <w:rsid w:val="14667BF8"/>
    <w:rsid w:val="14AD2475"/>
    <w:rsid w:val="14D61C91"/>
    <w:rsid w:val="15C04B78"/>
    <w:rsid w:val="15DE7A08"/>
    <w:rsid w:val="15EA419E"/>
    <w:rsid w:val="15F07C33"/>
    <w:rsid w:val="16425B91"/>
    <w:rsid w:val="16622475"/>
    <w:rsid w:val="171C7BA4"/>
    <w:rsid w:val="17533A51"/>
    <w:rsid w:val="176916E2"/>
    <w:rsid w:val="17C5460C"/>
    <w:rsid w:val="17F3666C"/>
    <w:rsid w:val="18155A97"/>
    <w:rsid w:val="184F11C2"/>
    <w:rsid w:val="18653FE4"/>
    <w:rsid w:val="19091760"/>
    <w:rsid w:val="19273916"/>
    <w:rsid w:val="195E2876"/>
    <w:rsid w:val="197F3421"/>
    <w:rsid w:val="1996003E"/>
    <w:rsid w:val="199D1425"/>
    <w:rsid w:val="19AE51BC"/>
    <w:rsid w:val="19AF3837"/>
    <w:rsid w:val="19CB67C5"/>
    <w:rsid w:val="19F42E76"/>
    <w:rsid w:val="1A027439"/>
    <w:rsid w:val="1A2F7A9F"/>
    <w:rsid w:val="1A3043C2"/>
    <w:rsid w:val="1A981A86"/>
    <w:rsid w:val="1AA3225B"/>
    <w:rsid w:val="1AB803A1"/>
    <w:rsid w:val="1AE45253"/>
    <w:rsid w:val="1AF6688A"/>
    <w:rsid w:val="1B293B21"/>
    <w:rsid w:val="1B574D0F"/>
    <w:rsid w:val="1B5C66AF"/>
    <w:rsid w:val="1B8A1294"/>
    <w:rsid w:val="1B98600F"/>
    <w:rsid w:val="1BB40831"/>
    <w:rsid w:val="1BD31DAE"/>
    <w:rsid w:val="1C1063AA"/>
    <w:rsid w:val="1C31214D"/>
    <w:rsid w:val="1C3A2544"/>
    <w:rsid w:val="1C4C1E75"/>
    <w:rsid w:val="1CD71AE0"/>
    <w:rsid w:val="1CDE0E33"/>
    <w:rsid w:val="1D322AF4"/>
    <w:rsid w:val="1D3A7AB3"/>
    <w:rsid w:val="1D695887"/>
    <w:rsid w:val="1D862564"/>
    <w:rsid w:val="1D8F4112"/>
    <w:rsid w:val="1DB96640"/>
    <w:rsid w:val="1E605D06"/>
    <w:rsid w:val="1EDE23C2"/>
    <w:rsid w:val="1EEB7C94"/>
    <w:rsid w:val="1F1A503E"/>
    <w:rsid w:val="1F366229"/>
    <w:rsid w:val="1F427E9C"/>
    <w:rsid w:val="1F805E0E"/>
    <w:rsid w:val="1FF74372"/>
    <w:rsid w:val="20030F48"/>
    <w:rsid w:val="200D373C"/>
    <w:rsid w:val="2047139D"/>
    <w:rsid w:val="204A7959"/>
    <w:rsid w:val="20982E05"/>
    <w:rsid w:val="20A40CE1"/>
    <w:rsid w:val="20C14090"/>
    <w:rsid w:val="20C624FD"/>
    <w:rsid w:val="20ED053C"/>
    <w:rsid w:val="20FD0E73"/>
    <w:rsid w:val="21114CA4"/>
    <w:rsid w:val="21191424"/>
    <w:rsid w:val="211A0780"/>
    <w:rsid w:val="212840BF"/>
    <w:rsid w:val="215241DE"/>
    <w:rsid w:val="21771E96"/>
    <w:rsid w:val="21AB64FC"/>
    <w:rsid w:val="21D55E36"/>
    <w:rsid w:val="22381A79"/>
    <w:rsid w:val="225F7733"/>
    <w:rsid w:val="228C7907"/>
    <w:rsid w:val="2296454F"/>
    <w:rsid w:val="22C97907"/>
    <w:rsid w:val="22F91AFD"/>
    <w:rsid w:val="232A0330"/>
    <w:rsid w:val="232C2F38"/>
    <w:rsid w:val="23405E5E"/>
    <w:rsid w:val="234B4FD9"/>
    <w:rsid w:val="234F708B"/>
    <w:rsid w:val="236952FE"/>
    <w:rsid w:val="23C60023"/>
    <w:rsid w:val="24787AE2"/>
    <w:rsid w:val="248F647F"/>
    <w:rsid w:val="24B40756"/>
    <w:rsid w:val="24F22A13"/>
    <w:rsid w:val="25132E99"/>
    <w:rsid w:val="251E4CAB"/>
    <w:rsid w:val="25227652"/>
    <w:rsid w:val="252F737D"/>
    <w:rsid w:val="258925C3"/>
    <w:rsid w:val="258C4FF3"/>
    <w:rsid w:val="25AB74EE"/>
    <w:rsid w:val="25D81723"/>
    <w:rsid w:val="25E411E5"/>
    <w:rsid w:val="2603025F"/>
    <w:rsid w:val="261C1CCB"/>
    <w:rsid w:val="2627309B"/>
    <w:rsid w:val="263200E3"/>
    <w:rsid w:val="26337793"/>
    <w:rsid w:val="26601652"/>
    <w:rsid w:val="266D329C"/>
    <w:rsid w:val="2679680C"/>
    <w:rsid w:val="26C724B6"/>
    <w:rsid w:val="26EC10A0"/>
    <w:rsid w:val="2716560F"/>
    <w:rsid w:val="27B01A19"/>
    <w:rsid w:val="27C801CE"/>
    <w:rsid w:val="27CB6237"/>
    <w:rsid w:val="27F30730"/>
    <w:rsid w:val="27FB22FE"/>
    <w:rsid w:val="28077830"/>
    <w:rsid w:val="2827176D"/>
    <w:rsid w:val="28283F6C"/>
    <w:rsid w:val="28287CEE"/>
    <w:rsid w:val="28447E4A"/>
    <w:rsid w:val="287E1FE0"/>
    <w:rsid w:val="28BF02AC"/>
    <w:rsid w:val="28C10FB7"/>
    <w:rsid w:val="28C71149"/>
    <w:rsid w:val="28D04CFA"/>
    <w:rsid w:val="28E104CD"/>
    <w:rsid w:val="29033B39"/>
    <w:rsid w:val="29090FC0"/>
    <w:rsid w:val="291B4A9A"/>
    <w:rsid w:val="29836D9F"/>
    <w:rsid w:val="29CB4C4B"/>
    <w:rsid w:val="29CC6FD6"/>
    <w:rsid w:val="29DA3501"/>
    <w:rsid w:val="2A1A1AFC"/>
    <w:rsid w:val="2A386932"/>
    <w:rsid w:val="2A674933"/>
    <w:rsid w:val="2A90253E"/>
    <w:rsid w:val="2AC71207"/>
    <w:rsid w:val="2AC76D23"/>
    <w:rsid w:val="2B284874"/>
    <w:rsid w:val="2B562FD0"/>
    <w:rsid w:val="2B607DFD"/>
    <w:rsid w:val="2B8A7200"/>
    <w:rsid w:val="2BA35436"/>
    <w:rsid w:val="2BCE4D6C"/>
    <w:rsid w:val="2C117204"/>
    <w:rsid w:val="2C251A06"/>
    <w:rsid w:val="2C332363"/>
    <w:rsid w:val="2D2F36F2"/>
    <w:rsid w:val="2D4520D2"/>
    <w:rsid w:val="2D60796E"/>
    <w:rsid w:val="2D830B21"/>
    <w:rsid w:val="2D883799"/>
    <w:rsid w:val="2DCF4F91"/>
    <w:rsid w:val="2DF439A6"/>
    <w:rsid w:val="2E166862"/>
    <w:rsid w:val="2E2B2BB3"/>
    <w:rsid w:val="2E717347"/>
    <w:rsid w:val="2EFE41C9"/>
    <w:rsid w:val="2F0C5742"/>
    <w:rsid w:val="2F67006D"/>
    <w:rsid w:val="2F9F4892"/>
    <w:rsid w:val="2FC0622F"/>
    <w:rsid w:val="2FD57EE3"/>
    <w:rsid w:val="2FD818E5"/>
    <w:rsid w:val="2FF22623"/>
    <w:rsid w:val="300214FB"/>
    <w:rsid w:val="30293182"/>
    <w:rsid w:val="30342063"/>
    <w:rsid w:val="30347837"/>
    <w:rsid w:val="306B6BD2"/>
    <w:rsid w:val="30804696"/>
    <w:rsid w:val="308F40BE"/>
    <w:rsid w:val="30B426F8"/>
    <w:rsid w:val="30C82195"/>
    <w:rsid w:val="312A6AFB"/>
    <w:rsid w:val="3130368E"/>
    <w:rsid w:val="31633608"/>
    <w:rsid w:val="31E831D7"/>
    <w:rsid w:val="32330788"/>
    <w:rsid w:val="32846574"/>
    <w:rsid w:val="32B52D1C"/>
    <w:rsid w:val="32CB0686"/>
    <w:rsid w:val="32D250EF"/>
    <w:rsid w:val="330E6F84"/>
    <w:rsid w:val="339131A2"/>
    <w:rsid w:val="33AE0287"/>
    <w:rsid w:val="33C66573"/>
    <w:rsid w:val="3410227E"/>
    <w:rsid w:val="3424621A"/>
    <w:rsid w:val="34277B2C"/>
    <w:rsid w:val="342C62AB"/>
    <w:rsid w:val="347A0A28"/>
    <w:rsid w:val="348B26F4"/>
    <w:rsid w:val="348C0943"/>
    <w:rsid w:val="34BA04CB"/>
    <w:rsid w:val="34FD2B90"/>
    <w:rsid w:val="35266248"/>
    <w:rsid w:val="3554220F"/>
    <w:rsid w:val="356C5106"/>
    <w:rsid w:val="35975B7E"/>
    <w:rsid w:val="35AC554D"/>
    <w:rsid w:val="35CD02D7"/>
    <w:rsid w:val="35D2691D"/>
    <w:rsid w:val="35D54CFE"/>
    <w:rsid w:val="35F75772"/>
    <w:rsid w:val="360754F3"/>
    <w:rsid w:val="36293BE7"/>
    <w:rsid w:val="36450AE3"/>
    <w:rsid w:val="369B2A88"/>
    <w:rsid w:val="376F102D"/>
    <w:rsid w:val="378D2AFC"/>
    <w:rsid w:val="379710B1"/>
    <w:rsid w:val="37A64AC3"/>
    <w:rsid w:val="37AE430C"/>
    <w:rsid w:val="37D46AA1"/>
    <w:rsid w:val="37DB421D"/>
    <w:rsid w:val="37F43625"/>
    <w:rsid w:val="384F4B9C"/>
    <w:rsid w:val="38786FD4"/>
    <w:rsid w:val="388562F5"/>
    <w:rsid w:val="38A478F3"/>
    <w:rsid w:val="38A5516B"/>
    <w:rsid w:val="38EA6C82"/>
    <w:rsid w:val="391326C3"/>
    <w:rsid w:val="391F46BE"/>
    <w:rsid w:val="39A4520F"/>
    <w:rsid w:val="39A566E1"/>
    <w:rsid w:val="39A760E0"/>
    <w:rsid w:val="3A0F2798"/>
    <w:rsid w:val="3A1A2010"/>
    <w:rsid w:val="3A6009A3"/>
    <w:rsid w:val="3AC4722E"/>
    <w:rsid w:val="3AD61064"/>
    <w:rsid w:val="3AF11B9B"/>
    <w:rsid w:val="3B284A67"/>
    <w:rsid w:val="3B4B4390"/>
    <w:rsid w:val="3B5370AE"/>
    <w:rsid w:val="3B567C2E"/>
    <w:rsid w:val="3BB15BA7"/>
    <w:rsid w:val="3BF47EEA"/>
    <w:rsid w:val="3BF601A3"/>
    <w:rsid w:val="3C236290"/>
    <w:rsid w:val="3C2E3407"/>
    <w:rsid w:val="3C381DA7"/>
    <w:rsid w:val="3C3C51BB"/>
    <w:rsid w:val="3C77250E"/>
    <w:rsid w:val="3D7725E5"/>
    <w:rsid w:val="3D803B88"/>
    <w:rsid w:val="3D804C1C"/>
    <w:rsid w:val="3DA56F35"/>
    <w:rsid w:val="3E02038A"/>
    <w:rsid w:val="3E155DE9"/>
    <w:rsid w:val="3E2128D2"/>
    <w:rsid w:val="3E3A148F"/>
    <w:rsid w:val="3ECA22D5"/>
    <w:rsid w:val="3ECD7472"/>
    <w:rsid w:val="3ED7746D"/>
    <w:rsid w:val="3EF26821"/>
    <w:rsid w:val="3EF65D19"/>
    <w:rsid w:val="3F20354C"/>
    <w:rsid w:val="3F4B1F04"/>
    <w:rsid w:val="3F4F5F14"/>
    <w:rsid w:val="3F735328"/>
    <w:rsid w:val="3F8A0D25"/>
    <w:rsid w:val="3FC57278"/>
    <w:rsid w:val="3FF24EF7"/>
    <w:rsid w:val="40371D86"/>
    <w:rsid w:val="40BC1625"/>
    <w:rsid w:val="40F53612"/>
    <w:rsid w:val="40FE68E4"/>
    <w:rsid w:val="41023A08"/>
    <w:rsid w:val="411D2BEF"/>
    <w:rsid w:val="413D645B"/>
    <w:rsid w:val="41447C4C"/>
    <w:rsid w:val="415359D6"/>
    <w:rsid w:val="417B77DD"/>
    <w:rsid w:val="41D460C9"/>
    <w:rsid w:val="41D83ED1"/>
    <w:rsid w:val="41E95F83"/>
    <w:rsid w:val="427144F6"/>
    <w:rsid w:val="43690F78"/>
    <w:rsid w:val="43717106"/>
    <w:rsid w:val="437E6F68"/>
    <w:rsid w:val="438D4489"/>
    <w:rsid w:val="43D31472"/>
    <w:rsid w:val="43D61FD7"/>
    <w:rsid w:val="43E20710"/>
    <w:rsid w:val="43E57F66"/>
    <w:rsid w:val="43EC3A33"/>
    <w:rsid w:val="440B38CA"/>
    <w:rsid w:val="443F3167"/>
    <w:rsid w:val="446C53D8"/>
    <w:rsid w:val="44E75BAE"/>
    <w:rsid w:val="44FD15F6"/>
    <w:rsid w:val="453523E3"/>
    <w:rsid w:val="45380485"/>
    <w:rsid w:val="456C77E1"/>
    <w:rsid w:val="45D20D81"/>
    <w:rsid w:val="45F86F2E"/>
    <w:rsid w:val="46227E92"/>
    <w:rsid w:val="46236CD8"/>
    <w:rsid w:val="467442F6"/>
    <w:rsid w:val="468E27CD"/>
    <w:rsid w:val="46922CA6"/>
    <w:rsid w:val="46924152"/>
    <w:rsid w:val="46D94182"/>
    <w:rsid w:val="476E1A48"/>
    <w:rsid w:val="479C6766"/>
    <w:rsid w:val="47B97585"/>
    <w:rsid w:val="47C85F75"/>
    <w:rsid w:val="47EA446B"/>
    <w:rsid w:val="47EC6B58"/>
    <w:rsid w:val="47FA35E1"/>
    <w:rsid w:val="47FA64CB"/>
    <w:rsid w:val="4806073F"/>
    <w:rsid w:val="48332624"/>
    <w:rsid w:val="48432AED"/>
    <w:rsid w:val="48A32BEE"/>
    <w:rsid w:val="492F554F"/>
    <w:rsid w:val="497133FE"/>
    <w:rsid w:val="498737AF"/>
    <w:rsid w:val="49B43126"/>
    <w:rsid w:val="4A257FF2"/>
    <w:rsid w:val="4A2C093E"/>
    <w:rsid w:val="4A391054"/>
    <w:rsid w:val="4A914AC0"/>
    <w:rsid w:val="4AC24438"/>
    <w:rsid w:val="4ACF70B7"/>
    <w:rsid w:val="4AD74A1B"/>
    <w:rsid w:val="4ADF68D1"/>
    <w:rsid w:val="4AEB0EE5"/>
    <w:rsid w:val="4B1414C1"/>
    <w:rsid w:val="4B2A5009"/>
    <w:rsid w:val="4B3E0AE7"/>
    <w:rsid w:val="4B3E6B8F"/>
    <w:rsid w:val="4B442751"/>
    <w:rsid w:val="4B562898"/>
    <w:rsid w:val="4B8E42AD"/>
    <w:rsid w:val="4B8E48F9"/>
    <w:rsid w:val="4BCF3BFD"/>
    <w:rsid w:val="4BDA32B6"/>
    <w:rsid w:val="4C057263"/>
    <w:rsid w:val="4C0D0003"/>
    <w:rsid w:val="4C1B5299"/>
    <w:rsid w:val="4C1F7C47"/>
    <w:rsid w:val="4CA26168"/>
    <w:rsid w:val="4CB71610"/>
    <w:rsid w:val="4CE6680F"/>
    <w:rsid w:val="4D297D3C"/>
    <w:rsid w:val="4D322FD0"/>
    <w:rsid w:val="4DF531F9"/>
    <w:rsid w:val="4DF85111"/>
    <w:rsid w:val="4E2C78BB"/>
    <w:rsid w:val="4E350DE4"/>
    <w:rsid w:val="4E8816ED"/>
    <w:rsid w:val="4F3855EC"/>
    <w:rsid w:val="4F453C66"/>
    <w:rsid w:val="4F480775"/>
    <w:rsid w:val="4F9D097C"/>
    <w:rsid w:val="4FB86BF8"/>
    <w:rsid w:val="4FC41575"/>
    <w:rsid w:val="4FCD5A5A"/>
    <w:rsid w:val="4FDC5466"/>
    <w:rsid w:val="4FFB1E07"/>
    <w:rsid w:val="504D153A"/>
    <w:rsid w:val="505754F8"/>
    <w:rsid w:val="50596B1B"/>
    <w:rsid w:val="514C35D0"/>
    <w:rsid w:val="518D47A2"/>
    <w:rsid w:val="51D10775"/>
    <w:rsid w:val="51EA3B54"/>
    <w:rsid w:val="51F14C6C"/>
    <w:rsid w:val="52397698"/>
    <w:rsid w:val="526507FA"/>
    <w:rsid w:val="527B4D0D"/>
    <w:rsid w:val="52DF0508"/>
    <w:rsid w:val="52E41F0D"/>
    <w:rsid w:val="52EA20AC"/>
    <w:rsid w:val="53153628"/>
    <w:rsid w:val="53496A03"/>
    <w:rsid w:val="53855D28"/>
    <w:rsid w:val="53AB68B5"/>
    <w:rsid w:val="53C45D5C"/>
    <w:rsid w:val="54463F9A"/>
    <w:rsid w:val="545A1725"/>
    <w:rsid w:val="54C8585C"/>
    <w:rsid w:val="54E175D8"/>
    <w:rsid w:val="55004A57"/>
    <w:rsid w:val="553605C9"/>
    <w:rsid w:val="5537481E"/>
    <w:rsid w:val="554F532E"/>
    <w:rsid w:val="558125E2"/>
    <w:rsid w:val="559E470A"/>
    <w:rsid w:val="55C72502"/>
    <w:rsid w:val="562548E2"/>
    <w:rsid w:val="56583B25"/>
    <w:rsid w:val="56667C5F"/>
    <w:rsid w:val="573B6867"/>
    <w:rsid w:val="5754074F"/>
    <w:rsid w:val="57702AA9"/>
    <w:rsid w:val="578D3CE2"/>
    <w:rsid w:val="57A1206C"/>
    <w:rsid w:val="57C10642"/>
    <w:rsid w:val="57C64DAF"/>
    <w:rsid w:val="58077A8D"/>
    <w:rsid w:val="584B7F20"/>
    <w:rsid w:val="58607A37"/>
    <w:rsid w:val="588A11FF"/>
    <w:rsid w:val="58C713AF"/>
    <w:rsid w:val="58DE2E20"/>
    <w:rsid w:val="590C60DD"/>
    <w:rsid w:val="59235193"/>
    <w:rsid w:val="593364E1"/>
    <w:rsid w:val="59EC2B03"/>
    <w:rsid w:val="5A6D2AFF"/>
    <w:rsid w:val="5AD043A1"/>
    <w:rsid w:val="5B530A79"/>
    <w:rsid w:val="5B58018C"/>
    <w:rsid w:val="5B5902E7"/>
    <w:rsid w:val="5B6733DF"/>
    <w:rsid w:val="5B6B0506"/>
    <w:rsid w:val="5BBA67A1"/>
    <w:rsid w:val="5C02016D"/>
    <w:rsid w:val="5C186ED1"/>
    <w:rsid w:val="5C4F2250"/>
    <w:rsid w:val="5C7F6F80"/>
    <w:rsid w:val="5C9C00FF"/>
    <w:rsid w:val="5CC9014E"/>
    <w:rsid w:val="5D5A6E45"/>
    <w:rsid w:val="5D803492"/>
    <w:rsid w:val="5D8F266B"/>
    <w:rsid w:val="5DE140AA"/>
    <w:rsid w:val="5DF51CFB"/>
    <w:rsid w:val="5DF91007"/>
    <w:rsid w:val="5E13020F"/>
    <w:rsid w:val="5E52311F"/>
    <w:rsid w:val="5EC04765"/>
    <w:rsid w:val="5EE0148D"/>
    <w:rsid w:val="5F28007B"/>
    <w:rsid w:val="5F3416E4"/>
    <w:rsid w:val="5F7F4861"/>
    <w:rsid w:val="5FB4732E"/>
    <w:rsid w:val="5FC116AC"/>
    <w:rsid w:val="5FC66E8E"/>
    <w:rsid w:val="5FF83BC5"/>
    <w:rsid w:val="603D7439"/>
    <w:rsid w:val="60695AB9"/>
    <w:rsid w:val="606D0C16"/>
    <w:rsid w:val="608337E2"/>
    <w:rsid w:val="60966BB4"/>
    <w:rsid w:val="60D22EA5"/>
    <w:rsid w:val="60EF5D26"/>
    <w:rsid w:val="61271964"/>
    <w:rsid w:val="61316552"/>
    <w:rsid w:val="617A4E7D"/>
    <w:rsid w:val="61B31C3F"/>
    <w:rsid w:val="61D31F51"/>
    <w:rsid w:val="61F26A0C"/>
    <w:rsid w:val="61F544F3"/>
    <w:rsid w:val="621D7C40"/>
    <w:rsid w:val="623E4AE6"/>
    <w:rsid w:val="624F24DB"/>
    <w:rsid w:val="62575CE7"/>
    <w:rsid w:val="62CE7766"/>
    <w:rsid w:val="62E5413B"/>
    <w:rsid w:val="63560A4F"/>
    <w:rsid w:val="63807109"/>
    <w:rsid w:val="63961064"/>
    <w:rsid w:val="63AD73A6"/>
    <w:rsid w:val="63BB52AC"/>
    <w:rsid w:val="63EF5092"/>
    <w:rsid w:val="640C0830"/>
    <w:rsid w:val="64372E3C"/>
    <w:rsid w:val="647A49C2"/>
    <w:rsid w:val="64A77044"/>
    <w:rsid w:val="64B65FEA"/>
    <w:rsid w:val="64B8674B"/>
    <w:rsid w:val="64FF08A5"/>
    <w:rsid w:val="651238E3"/>
    <w:rsid w:val="655A0834"/>
    <w:rsid w:val="65CD44FD"/>
    <w:rsid w:val="65D17A94"/>
    <w:rsid w:val="66042D2C"/>
    <w:rsid w:val="66814AB1"/>
    <w:rsid w:val="66951888"/>
    <w:rsid w:val="66B8028F"/>
    <w:rsid w:val="66D3572C"/>
    <w:rsid w:val="66D8146E"/>
    <w:rsid w:val="66E2417C"/>
    <w:rsid w:val="670A252B"/>
    <w:rsid w:val="67295F25"/>
    <w:rsid w:val="67377F81"/>
    <w:rsid w:val="674D2BB6"/>
    <w:rsid w:val="67B71F35"/>
    <w:rsid w:val="67BD45E9"/>
    <w:rsid w:val="67E61A66"/>
    <w:rsid w:val="67F75072"/>
    <w:rsid w:val="682D3495"/>
    <w:rsid w:val="68467849"/>
    <w:rsid w:val="68560A14"/>
    <w:rsid w:val="68D15606"/>
    <w:rsid w:val="68EC4282"/>
    <w:rsid w:val="69636407"/>
    <w:rsid w:val="699B7963"/>
    <w:rsid w:val="69EA46E0"/>
    <w:rsid w:val="69F55804"/>
    <w:rsid w:val="6A8A7E2A"/>
    <w:rsid w:val="6A9638C9"/>
    <w:rsid w:val="6AD51316"/>
    <w:rsid w:val="6B7B45C8"/>
    <w:rsid w:val="6BBE706F"/>
    <w:rsid w:val="6BDD375A"/>
    <w:rsid w:val="6BEA0DCD"/>
    <w:rsid w:val="6C1A6F0E"/>
    <w:rsid w:val="6C1C60A1"/>
    <w:rsid w:val="6C5266B1"/>
    <w:rsid w:val="6C6B032A"/>
    <w:rsid w:val="6D1102ED"/>
    <w:rsid w:val="6D554757"/>
    <w:rsid w:val="6DA3446C"/>
    <w:rsid w:val="6DA42328"/>
    <w:rsid w:val="6DEB6263"/>
    <w:rsid w:val="6E2B67BC"/>
    <w:rsid w:val="6E30322B"/>
    <w:rsid w:val="6E306997"/>
    <w:rsid w:val="6E4E6CBE"/>
    <w:rsid w:val="6EAD34A8"/>
    <w:rsid w:val="6EB75E0D"/>
    <w:rsid w:val="6EC12F19"/>
    <w:rsid w:val="6F1859E8"/>
    <w:rsid w:val="6F350388"/>
    <w:rsid w:val="6F3E1F7E"/>
    <w:rsid w:val="6F6C2BBD"/>
    <w:rsid w:val="6F752637"/>
    <w:rsid w:val="6F894BD7"/>
    <w:rsid w:val="6FCF3162"/>
    <w:rsid w:val="6FDA3A0D"/>
    <w:rsid w:val="705D0061"/>
    <w:rsid w:val="70CA6480"/>
    <w:rsid w:val="70E97D9A"/>
    <w:rsid w:val="70F419BB"/>
    <w:rsid w:val="70F8055D"/>
    <w:rsid w:val="71085674"/>
    <w:rsid w:val="71270B17"/>
    <w:rsid w:val="71513F36"/>
    <w:rsid w:val="71717EE1"/>
    <w:rsid w:val="718C3550"/>
    <w:rsid w:val="719428F9"/>
    <w:rsid w:val="71943BE1"/>
    <w:rsid w:val="721E0B02"/>
    <w:rsid w:val="723D4B43"/>
    <w:rsid w:val="72D13CDB"/>
    <w:rsid w:val="73252F15"/>
    <w:rsid w:val="733D283A"/>
    <w:rsid w:val="736A60EC"/>
    <w:rsid w:val="73802C2C"/>
    <w:rsid w:val="73BF5FDB"/>
    <w:rsid w:val="73E678A9"/>
    <w:rsid w:val="73FA30EB"/>
    <w:rsid w:val="741C3F5E"/>
    <w:rsid w:val="74377118"/>
    <w:rsid w:val="748323B7"/>
    <w:rsid w:val="748E1F5C"/>
    <w:rsid w:val="74A04E39"/>
    <w:rsid w:val="74B01B1A"/>
    <w:rsid w:val="75201B39"/>
    <w:rsid w:val="753901A6"/>
    <w:rsid w:val="7554669F"/>
    <w:rsid w:val="75797AA5"/>
    <w:rsid w:val="75C57D37"/>
    <w:rsid w:val="75C85545"/>
    <w:rsid w:val="75E952FC"/>
    <w:rsid w:val="764A75B0"/>
    <w:rsid w:val="76521847"/>
    <w:rsid w:val="76D0766A"/>
    <w:rsid w:val="76E07CDB"/>
    <w:rsid w:val="772A5761"/>
    <w:rsid w:val="774722B6"/>
    <w:rsid w:val="77797ABB"/>
    <w:rsid w:val="778F2D2F"/>
    <w:rsid w:val="77A46D36"/>
    <w:rsid w:val="77BC45A3"/>
    <w:rsid w:val="77D31868"/>
    <w:rsid w:val="77EB3C00"/>
    <w:rsid w:val="77F7386F"/>
    <w:rsid w:val="78061532"/>
    <w:rsid w:val="78223734"/>
    <w:rsid w:val="78435220"/>
    <w:rsid w:val="785E0D79"/>
    <w:rsid w:val="78796F0D"/>
    <w:rsid w:val="788C6E05"/>
    <w:rsid w:val="78990D6C"/>
    <w:rsid w:val="78E56EB0"/>
    <w:rsid w:val="79036AC9"/>
    <w:rsid w:val="79336D77"/>
    <w:rsid w:val="79942839"/>
    <w:rsid w:val="79A31411"/>
    <w:rsid w:val="79C27653"/>
    <w:rsid w:val="79C40291"/>
    <w:rsid w:val="79D558D0"/>
    <w:rsid w:val="79E13D07"/>
    <w:rsid w:val="7A163A32"/>
    <w:rsid w:val="7A696F05"/>
    <w:rsid w:val="7A84541B"/>
    <w:rsid w:val="7A8851E7"/>
    <w:rsid w:val="7BCB6C69"/>
    <w:rsid w:val="7BD80ACB"/>
    <w:rsid w:val="7BFF337A"/>
    <w:rsid w:val="7C2822BF"/>
    <w:rsid w:val="7C3A142A"/>
    <w:rsid w:val="7C777908"/>
    <w:rsid w:val="7CDE126C"/>
    <w:rsid w:val="7D0D2D20"/>
    <w:rsid w:val="7D34215E"/>
    <w:rsid w:val="7D8B2514"/>
    <w:rsid w:val="7D8C7A38"/>
    <w:rsid w:val="7DCD292D"/>
    <w:rsid w:val="7E100F8A"/>
    <w:rsid w:val="7E2140B9"/>
    <w:rsid w:val="7E484E23"/>
    <w:rsid w:val="7E67616B"/>
    <w:rsid w:val="7E887543"/>
    <w:rsid w:val="7EAF0BE9"/>
    <w:rsid w:val="7EC04375"/>
    <w:rsid w:val="7EEE26AE"/>
    <w:rsid w:val="7EEE75D6"/>
    <w:rsid w:val="7F3A4AAE"/>
    <w:rsid w:val="7F43711F"/>
    <w:rsid w:val="7FB70A57"/>
    <w:rsid w:val="7FB827DE"/>
    <w:rsid w:val="7FF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Calibri" w:hAnsi="Calibri" w:eastAsia="宋体" w:cs="黑体"/>
      <w:sz w:val="24"/>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kern w:val="44"/>
      <w:sz w:val="44"/>
    </w:rPr>
  </w:style>
  <w:style w:type="paragraph" w:styleId="2">
    <w:name w:val="heading 2"/>
    <w:basedOn w:val="1"/>
    <w:next w:val="1"/>
    <w:autoRedefine/>
    <w:qFormat/>
    <w:uiPriority w:val="0"/>
    <w:pPr>
      <w:keepNext/>
      <w:keepLines/>
      <w:widowControl w:val="0"/>
      <w:overflowPunct w:val="0"/>
      <w:adjustRightInd w:val="0"/>
      <w:jc w:val="center"/>
      <w:textAlignment w:val="baseline"/>
      <w:outlineLvl w:val="1"/>
    </w:pPr>
    <w:rPr>
      <w:rFonts w:ascii="宋体" w:hAnsi="宋体" w:eastAsia="楷体_GB2312"/>
      <w:b/>
      <w:kern w:val="2"/>
      <w:sz w:val="44"/>
    </w:rPr>
  </w:style>
  <w:style w:type="paragraph" w:styleId="4">
    <w:name w:val="heading 3"/>
    <w:basedOn w:val="1"/>
    <w:next w:val="1"/>
    <w:autoRedefine/>
    <w:qFormat/>
    <w:uiPriority w:val="0"/>
    <w:pPr>
      <w:keepNext/>
      <w:keepLines/>
      <w:widowControl w:val="0"/>
      <w:spacing w:before="260" w:after="260" w:line="415" w:lineRule="auto"/>
      <w:jc w:val="both"/>
      <w:outlineLvl w:val="2"/>
    </w:pPr>
    <w:rPr>
      <w:b/>
      <w:kern w:val="2"/>
      <w:sz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cs="Arial"/>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ind w:firstLine="420"/>
      <w:textAlignment w:val="baseline"/>
    </w:pPr>
  </w:style>
  <w:style w:type="paragraph" w:styleId="7">
    <w:name w:val="Document Map"/>
    <w:basedOn w:val="1"/>
    <w:link w:val="41"/>
    <w:autoRedefine/>
    <w:qFormat/>
    <w:uiPriority w:val="0"/>
    <w:rPr>
      <w:rFonts w:ascii="宋体" w:cs="Times New Roman"/>
      <w:sz w:val="18"/>
      <w:szCs w:val="18"/>
    </w:rPr>
  </w:style>
  <w:style w:type="paragraph" w:styleId="8">
    <w:name w:val="annotation text"/>
    <w:basedOn w:val="1"/>
    <w:link w:val="42"/>
    <w:autoRedefine/>
    <w:qFormat/>
    <w:uiPriority w:val="0"/>
    <w:pPr>
      <w:widowControl w:val="0"/>
    </w:pPr>
    <w:rPr>
      <w:rFonts w:cs="Times New Roman"/>
      <w:kern w:val="2"/>
      <w:sz w:val="21"/>
      <w:szCs w:val="21"/>
    </w:rPr>
  </w:style>
  <w:style w:type="paragraph" w:styleId="9">
    <w:name w:val="Body Text"/>
    <w:basedOn w:val="1"/>
    <w:next w:val="1"/>
    <w:autoRedefine/>
    <w:qFormat/>
    <w:uiPriority w:val="0"/>
    <w:pPr>
      <w:snapToGrid w:val="0"/>
      <w:spacing w:line="300" w:lineRule="auto"/>
    </w:pPr>
    <w:rPr>
      <w:rFonts w:eastAsia="微软简楷体"/>
      <w:sz w:val="30"/>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autoRedefine/>
    <w:semiHidden/>
    <w:qFormat/>
    <w:uiPriority w:val="0"/>
    <w:pPr>
      <w:snapToGrid w:val="0"/>
    </w:pPr>
    <w:rPr>
      <w:rFonts w:ascii="Arial" w:hAnsi="Arial" w:cs="Arial"/>
    </w:rPr>
  </w:style>
  <w:style w:type="paragraph" w:styleId="12">
    <w:name w:val="Block Text"/>
    <w:basedOn w:val="1"/>
    <w:autoRedefine/>
    <w:qFormat/>
    <w:uiPriority w:val="0"/>
    <w:pPr>
      <w:autoSpaceDE w:val="0"/>
      <w:autoSpaceDN w:val="0"/>
      <w:adjustRightInd w:val="0"/>
      <w:ind w:left="256" w:right="6" w:firstLine="624" w:firstLineChars="200"/>
    </w:pPr>
    <w:rPr>
      <w:rFonts w:ascii="Times New Roman" w:hAnsi="Times New Roman" w:eastAsia="仿宋_GB2312" w:cs="Times New Roman"/>
      <w:sz w:val="28"/>
      <w:szCs w:val="20"/>
    </w:rPr>
  </w:style>
  <w:style w:type="paragraph" w:styleId="13">
    <w:name w:val="Plain Text"/>
    <w:basedOn w:val="1"/>
    <w:link w:val="43"/>
    <w:autoRedefine/>
    <w:qFormat/>
    <w:uiPriority w:val="0"/>
    <w:rPr>
      <w:rFonts w:ascii="宋体" w:hAnsi="Courier New" w:eastAsia="楷体_GB2312" w:cs="Times New Roman"/>
      <w:sz w:val="26"/>
    </w:rPr>
  </w:style>
  <w:style w:type="paragraph" w:styleId="14">
    <w:name w:val="Date"/>
    <w:basedOn w:val="1"/>
    <w:next w:val="1"/>
    <w:autoRedefine/>
    <w:qFormat/>
    <w:uiPriority w:val="0"/>
    <w:rPr>
      <w:szCs w:val="20"/>
    </w:rPr>
  </w:style>
  <w:style w:type="paragraph" w:styleId="15">
    <w:name w:val="Body Text Indent 2"/>
    <w:basedOn w:val="1"/>
    <w:autoRedefine/>
    <w:qFormat/>
    <w:uiPriority w:val="0"/>
    <w:pPr>
      <w:spacing w:line="420" w:lineRule="exact"/>
      <w:ind w:firstLine="955" w:firstLineChars="398"/>
    </w:pPr>
    <w:rPr>
      <w:rFonts w:ascii="楷体_GB2312" w:eastAsia="楷体_GB2312"/>
      <w:bCs/>
    </w:rPr>
  </w:style>
  <w:style w:type="paragraph" w:styleId="16">
    <w:name w:val="Balloon Text"/>
    <w:basedOn w:val="1"/>
    <w:autoRedefine/>
    <w:qFormat/>
    <w:uiPriority w:val="0"/>
    <w:rPr>
      <w:sz w:val="18"/>
    </w:rPr>
  </w:style>
  <w:style w:type="paragraph" w:styleId="17">
    <w:name w:val="footer"/>
    <w:basedOn w:val="1"/>
    <w:autoRedefine/>
    <w:qFormat/>
    <w:uiPriority w:val="0"/>
    <w:pPr>
      <w:tabs>
        <w:tab w:val="center" w:pos="4153"/>
        <w:tab w:val="right" w:pos="8306"/>
      </w:tabs>
      <w:snapToGrid w:val="0"/>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autoRedefine/>
    <w:unhideWhenUsed/>
    <w:qFormat/>
    <w:uiPriority w:val="39"/>
  </w:style>
  <w:style w:type="paragraph" w:styleId="20">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21">
    <w:name w:val="Normal (Web)"/>
    <w:basedOn w:val="1"/>
    <w:autoRedefine/>
    <w:qFormat/>
    <w:uiPriority w:val="0"/>
    <w:pPr>
      <w:spacing w:beforeAutospacing="1" w:afterAutospacing="1"/>
    </w:pPr>
  </w:style>
  <w:style w:type="paragraph" w:styleId="22">
    <w:name w:val="annotation subject"/>
    <w:basedOn w:val="8"/>
    <w:next w:val="8"/>
    <w:link w:val="44"/>
    <w:autoRedefine/>
    <w:qFormat/>
    <w:uiPriority w:val="0"/>
    <w:pPr>
      <w:widowControl/>
    </w:pPr>
    <w:rPr>
      <w:b/>
      <w:bCs/>
      <w:kern w:val="0"/>
      <w:sz w:val="24"/>
      <w:szCs w:val="22"/>
    </w:rPr>
  </w:style>
  <w:style w:type="paragraph" w:styleId="23">
    <w:name w:val="Body Text First Indent"/>
    <w:basedOn w:val="9"/>
    <w:autoRedefine/>
    <w:qFormat/>
    <w:uiPriority w:val="0"/>
    <w:pPr>
      <w:snapToGrid/>
      <w:spacing w:after="120" w:line="240" w:lineRule="auto"/>
      <w:ind w:firstLine="420" w:firstLineChars="100"/>
    </w:pPr>
    <w:rPr>
      <w:rFonts w:eastAsia="楷体_GB2312"/>
      <w:sz w:val="28"/>
      <w:szCs w:val="28"/>
    </w:rPr>
  </w:style>
  <w:style w:type="paragraph" w:styleId="24">
    <w:name w:val="Body Text First Indent 2"/>
    <w:basedOn w:val="10"/>
    <w:next w:val="1"/>
    <w:autoRedefine/>
    <w:qFormat/>
    <w:uiPriority w:val="0"/>
    <w:pPr>
      <w:ind w:firstLine="420" w:firstLineChars="200"/>
    </w:p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page number"/>
    <w:autoRedefine/>
    <w:qFormat/>
    <w:uiPriority w:val="0"/>
  </w:style>
  <w:style w:type="character" w:styleId="30">
    <w:name w:val="FollowedHyperlink"/>
    <w:autoRedefine/>
    <w:qFormat/>
    <w:uiPriority w:val="0"/>
    <w:rPr>
      <w:color w:val="800080"/>
      <w:u w:val="none"/>
    </w:rPr>
  </w:style>
  <w:style w:type="character" w:styleId="31">
    <w:name w:val="HTML Definition"/>
    <w:autoRedefine/>
    <w:qFormat/>
    <w:uiPriority w:val="0"/>
  </w:style>
  <w:style w:type="character" w:styleId="32">
    <w:name w:val="HTML Typewriter"/>
    <w:autoRedefine/>
    <w:qFormat/>
    <w:uiPriority w:val="0"/>
    <w:rPr>
      <w:rFonts w:hint="default" w:ascii="monospace" w:hAnsi="monospace" w:eastAsia="monospace" w:cs="monospace"/>
      <w:sz w:val="20"/>
    </w:rPr>
  </w:style>
  <w:style w:type="character" w:styleId="33">
    <w:name w:val="HTML Acronym"/>
    <w:autoRedefine/>
    <w:qFormat/>
    <w:uiPriority w:val="0"/>
  </w:style>
  <w:style w:type="character" w:styleId="34">
    <w:name w:val="HTML Variable"/>
    <w:autoRedefine/>
    <w:qFormat/>
    <w:uiPriority w:val="0"/>
  </w:style>
  <w:style w:type="character" w:styleId="35">
    <w:name w:val="Hyperlink"/>
    <w:autoRedefine/>
    <w:qFormat/>
    <w:uiPriority w:val="0"/>
    <w:rPr>
      <w:color w:val="000000"/>
      <w:u w:val="none"/>
    </w:rPr>
  </w:style>
  <w:style w:type="character" w:styleId="36">
    <w:name w:val="HTML Code"/>
    <w:autoRedefine/>
    <w:qFormat/>
    <w:uiPriority w:val="0"/>
    <w:rPr>
      <w:rFonts w:ascii="monospace" w:hAnsi="monospace" w:eastAsia="monospace" w:cs="monospace"/>
      <w:sz w:val="20"/>
    </w:rPr>
  </w:style>
  <w:style w:type="character" w:styleId="37">
    <w:name w:val="annotation reference"/>
    <w:autoRedefine/>
    <w:qFormat/>
    <w:uiPriority w:val="0"/>
    <w:rPr>
      <w:sz w:val="21"/>
      <w:szCs w:val="21"/>
    </w:rPr>
  </w:style>
  <w:style w:type="character" w:styleId="38">
    <w:name w:val="HTML Cite"/>
    <w:autoRedefine/>
    <w:qFormat/>
    <w:uiPriority w:val="0"/>
  </w:style>
  <w:style w:type="character" w:styleId="39">
    <w:name w:val="HTML Keyboard"/>
    <w:autoRedefine/>
    <w:qFormat/>
    <w:uiPriority w:val="0"/>
    <w:rPr>
      <w:rFonts w:hint="default" w:ascii="monospace" w:hAnsi="monospace" w:eastAsia="monospace" w:cs="monospace"/>
      <w:sz w:val="20"/>
    </w:rPr>
  </w:style>
  <w:style w:type="character" w:styleId="40">
    <w:name w:val="HTML Sample"/>
    <w:autoRedefine/>
    <w:qFormat/>
    <w:uiPriority w:val="0"/>
    <w:rPr>
      <w:rFonts w:hint="default" w:ascii="monospace" w:hAnsi="monospace" w:eastAsia="monospace" w:cs="monospace"/>
    </w:rPr>
  </w:style>
  <w:style w:type="character" w:customStyle="1" w:styleId="41">
    <w:name w:val="文档结构图 字符"/>
    <w:link w:val="7"/>
    <w:autoRedefine/>
    <w:qFormat/>
    <w:uiPriority w:val="0"/>
    <w:rPr>
      <w:rFonts w:ascii="宋体" w:hAnsi="Calibri" w:cs="黑体"/>
      <w:sz w:val="18"/>
      <w:szCs w:val="18"/>
    </w:rPr>
  </w:style>
  <w:style w:type="character" w:customStyle="1" w:styleId="42">
    <w:name w:val="批注文字 字符"/>
    <w:link w:val="8"/>
    <w:autoRedefine/>
    <w:qFormat/>
    <w:uiPriority w:val="0"/>
    <w:rPr>
      <w:rFonts w:ascii="Calibri" w:hAnsi="Calibri" w:cs="黑体"/>
      <w:kern w:val="2"/>
      <w:sz w:val="21"/>
      <w:szCs w:val="21"/>
    </w:rPr>
  </w:style>
  <w:style w:type="character" w:customStyle="1" w:styleId="43">
    <w:name w:val="纯文本 字符"/>
    <w:link w:val="13"/>
    <w:autoRedefine/>
    <w:qFormat/>
    <w:uiPriority w:val="0"/>
    <w:rPr>
      <w:rFonts w:ascii="宋体" w:hAnsi="Courier New" w:eastAsia="楷体_GB2312" w:cs="黑体"/>
      <w:sz w:val="26"/>
      <w:szCs w:val="22"/>
    </w:rPr>
  </w:style>
  <w:style w:type="character" w:customStyle="1" w:styleId="44">
    <w:name w:val="批注主题 字符"/>
    <w:link w:val="22"/>
    <w:autoRedefine/>
    <w:qFormat/>
    <w:uiPriority w:val="0"/>
  </w:style>
  <w:style w:type="character" w:customStyle="1" w:styleId="45">
    <w:name w:val="font61"/>
    <w:autoRedefine/>
    <w:qFormat/>
    <w:uiPriority w:val="0"/>
    <w:rPr>
      <w:rFonts w:hint="eastAsia" w:ascii="宋体" w:hAnsi="宋体" w:eastAsia="宋体" w:cs="宋体"/>
      <w:color w:val="FFFFFF"/>
      <w:sz w:val="24"/>
      <w:szCs w:val="24"/>
      <w:u w:val="none"/>
    </w:rPr>
  </w:style>
  <w:style w:type="character" w:customStyle="1" w:styleId="46">
    <w:name w:val="font81"/>
    <w:autoRedefine/>
    <w:qFormat/>
    <w:uiPriority w:val="0"/>
    <w:rPr>
      <w:rFonts w:hint="eastAsia" w:ascii="宋体" w:hAnsi="宋体" w:eastAsia="宋体" w:cs="宋体"/>
      <w:color w:val="000000"/>
      <w:sz w:val="20"/>
      <w:szCs w:val="20"/>
      <w:u w:val="none"/>
    </w:rPr>
  </w:style>
  <w:style w:type="character" w:customStyle="1" w:styleId="47">
    <w:name w:val="font51"/>
    <w:autoRedefine/>
    <w:qFormat/>
    <w:uiPriority w:val="0"/>
    <w:rPr>
      <w:rFonts w:hint="eastAsia" w:ascii="宋体" w:hAnsi="宋体" w:eastAsia="宋体" w:cs="宋体"/>
      <w:b/>
      <w:color w:val="FFFFFF"/>
      <w:sz w:val="24"/>
      <w:szCs w:val="24"/>
      <w:u w:val="none"/>
    </w:rPr>
  </w:style>
  <w:style w:type="character" w:customStyle="1" w:styleId="48">
    <w:name w:val="font11"/>
    <w:autoRedefine/>
    <w:qFormat/>
    <w:uiPriority w:val="0"/>
    <w:rPr>
      <w:rFonts w:hint="eastAsia" w:ascii="宋体" w:hAnsi="宋体" w:eastAsia="宋体" w:cs="宋体"/>
      <w:b/>
      <w:color w:val="000000"/>
      <w:sz w:val="20"/>
      <w:szCs w:val="20"/>
      <w:u w:val="none"/>
    </w:rPr>
  </w:style>
  <w:style w:type="character" w:customStyle="1" w:styleId="49">
    <w:name w:val="wyg1"/>
    <w:autoRedefine/>
    <w:qFormat/>
    <w:uiPriority w:val="6"/>
    <w:rPr>
      <w:color w:val="000000"/>
      <w:sz w:val="20"/>
      <w:szCs w:val="20"/>
      <w:u w:val="none"/>
    </w:rPr>
  </w:style>
  <w:style w:type="character" w:customStyle="1" w:styleId="50">
    <w:name w:val="font71"/>
    <w:autoRedefine/>
    <w:qFormat/>
    <w:uiPriority w:val="0"/>
    <w:rPr>
      <w:rFonts w:hint="eastAsia" w:ascii="宋体" w:hAnsi="宋体" w:eastAsia="宋体" w:cs="宋体"/>
      <w:b/>
      <w:color w:val="FFFFFF"/>
      <w:sz w:val="24"/>
      <w:szCs w:val="24"/>
      <w:u w:val="none"/>
    </w:rPr>
  </w:style>
  <w:style w:type="character" w:customStyle="1" w:styleId="51">
    <w:name w:val="font21"/>
    <w:autoRedefine/>
    <w:qFormat/>
    <w:uiPriority w:val="0"/>
    <w:rPr>
      <w:rFonts w:hint="eastAsia" w:ascii="宋体" w:hAnsi="宋体" w:eastAsia="宋体" w:cs="宋体"/>
      <w:b/>
      <w:color w:val="000000"/>
      <w:sz w:val="20"/>
      <w:szCs w:val="20"/>
      <w:u w:val="none"/>
    </w:rPr>
  </w:style>
  <w:style w:type="character" w:customStyle="1" w:styleId="52">
    <w:name w:val="font01"/>
    <w:autoRedefine/>
    <w:qFormat/>
    <w:uiPriority w:val="0"/>
    <w:rPr>
      <w:rFonts w:hint="eastAsia" w:ascii="宋体" w:hAnsi="宋体" w:eastAsia="宋体" w:cs="宋体"/>
      <w:color w:val="000000"/>
      <w:sz w:val="24"/>
      <w:szCs w:val="24"/>
      <w:u w:val="none"/>
    </w:rPr>
  </w:style>
  <w:style w:type="paragraph" w:customStyle="1" w:styleId="53">
    <w:name w:val="正文缩进2字符"/>
    <w:basedOn w:val="1"/>
    <w:autoRedefine/>
    <w:qFormat/>
    <w:uiPriority w:val="0"/>
    <w:pPr>
      <w:spacing w:line="360" w:lineRule="auto"/>
      <w:ind w:firstLine="200" w:firstLineChars="200"/>
    </w:pPr>
    <w:rPr>
      <w:szCs w:val="20"/>
    </w:rPr>
  </w:style>
  <w:style w:type="paragraph" w:customStyle="1" w:styleId="54">
    <w:name w:val="纯文本1"/>
    <w:basedOn w:val="1"/>
    <w:autoRedefine/>
    <w:qFormat/>
    <w:uiPriority w:val="0"/>
    <w:pPr>
      <w:adjustRightInd w:val="0"/>
      <w:textAlignment w:val="baseline"/>
    </w:pPr>
    <w:rPr>
      <w:rFonts w:ascii="宋体" w:hAnsi="Courier New" w:eastAsia="楷体_GB2312"/>
      <w:sz w:val="26"/>
    </w:rPr>
  </w:style>
  <w:style w:type="paragraph" w:customStyle="1" w:styleId="55">
    <w:name w:val="列出段落1"/>
    <w:basedOn w:val="1"/>
    <w:autoRedefine/>
    <w:qFormat/>
    <w:uiPriority w:val="0"/>
    <w:pPr>
      <w:ind w:firstLine="420" w:firstLineChars="200"/>
    </w:pPr>
    <w:rPr>
      <w:szCs w:val="20"/>
    </w:rPr>
  </w:style>
  <w:style w:type="paragraph" w:customStyle="1" w:styleId="56">
    <w:name w:val="节"/>
    <w:basedOn w:val="2"/>
    <w:autoRedefine/>
    <w:qFormat/>
    <w:uiPriority w:val="0"/>
    <w:pPr>
      <w:numPr>
        <w:ilvl w:val="1"/>
        <w:numId w:val="1"/>
      </w:numPr>
      <w:tabs>
        <w:tab w:val="left" w:pos="432"/>
        <w:tab w:val="clear" w:pos="576"/>
      </w:tabs>
      <w:adjustRightInd/>
      <w:spacing w:before="260" w:after="260"/>
      <w:jc w:val="both"/>
      <w:textAlignment w:val="auto"/>
    </w:pPr>
    <w:rPr>
      <w:rFonts w:ascii="黑体" w:hAnsi="Arial" w:eastAsia="黑体"/>
      <w:b w:val="0"/>
      <w:bCs/>
      <w:sz w:val="28"/>
      <w:szCs w:val="28"/>
    </w:rPr>
  </w:style>
  <w:style w:type="paragraph" w:customStyle="1" w:styleId="57">
    <w:name w:val="+正文"/>
    <w:basedOn w:val="1"/>
    <w:autoRedefine/>
    <w:qFormat/>
    <w:uiPriority w:val="0"/>
    <w:pPr>
      <w:spacing w:line="360" w:lineRule="auto"/>
      <w:ind w:firstLine="200" w:firstLineChars="200"/>
    </w:pPr>
  </w:style>
  <w:style w:type="paragraph" w:customStyle="1" w:styleId="58">
    <w:name w:val="正文文本1"/>
    <w:autoRedefine/>
    <w:qFormat/>
    <w:uiPriority w:val="0"/>
    <w:pPr>
      <w:widowControl w:val="0"/>
      <w:jc w:val="center"/>
    </w:pPr>
    <w:rPr>
      <w:rFonts w:hint="eastAsia" w:ascii="Arial Unicode MS" w:hAnsi="Arial Unicode MS" w:eastAsia="Times New Roman" w:cs="Arial Unicode MS"/>
      <w:b/>
      <w:bCs/>
      <w:color w:val="000000"/>
      <w:kern w:val="2"/>
      <w:sz w:val="28"/>
      <w:szCs w:val="28"/>
      <w:lang w:val="en-US" w:eastAsia="zh-CN" w:bidi="ar-SA"/>
    </w:rPr>
  </w:style>
  <w:style w:type="paragraph" w:customStyle="1" w:styleId="59">
    <w:name w:val="标题2"/>
    <w:basedOn w:val="20"/>
    <w:autoRedefine/>
    <w:qFormat/>
    <w:uiPriority w:val="0"/>
    <w:pPr>
      <w:widowControl w:val="0"/>
      <w:jc w:val="left"/>
    </w:pPr>
    <w:rPr>
      <w:rFonts w:ascii="Cambria" w:hAnsi="Cambria" w:cs="Times New Roman"/>
    </w:rPr>
  </w:style>
  <w:style w:type="paragraph" w:customStyle="1" w:styleId="60">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61">
    <w:name w:val="Plain Text1"/>
    <w:basedOn w:val="1"/>
    <w:autoRedefine/>
    <w:qFormat/>
    <w:uiPriority w:val="99"/>
    <w:pPr>
      <w:adjustRightInd w:val="0"/>
      <w:textAlignment w:val="baseline"/>
    </w:pPr>
    <w:rPr>
      <w:rFonts w:ascii="宋体" w:hAnsi="Courier New" w:eastAsia="楷体_GB2312"/>
      <w:sz w:val="26"/>
    </w:rPr>
  </w:style>
  <w:style w:type="paragraph" w:customStyle="1" w:styleId="62">
    <w:name w:val="Table Paragraph"/>
    <w:basedOn w:val="1"/>
    <w:autoRedefine/>
    <w:qFormat/>
    <w:uiPriority w:val="99"/>
  </w:style>
  <w:style w:type="character" w:customStyle="1" w:styleId="63">
    <w:name w:val="hover"/>
    <w:autoRedefine/>
    <w:qFormat/>
    <w:uiPriority w:val="0"/>
    <w:rPr>
      <w:color w:val="5FB878"/>
    </w:rPr>
  </w:style>
  <w:style w:type="character" w:customStyle="1" w:styleId="64">
    <w:name w:val="hover1"/>
    <w:autoRedefine/>
    <w:qFormat/>
    <w:uiPriority w:val="0"/>
    <w:rPr>
      <w:color w:val="5FB878"/>
    </w:rPr>
  </w:style>
  <w:style w:type="character" w:customStyle="1" w:styleId="65">
    <w:name w:val="hover2"/>
    <w:autoRedefine/>
    <w:qFormat/>
    <w:uiPriority w:val="0"/>
    <w:rPr>
      <w:color w:val="FFFFFF"/>
    </w:rPr>
  </w:style>
  <w:style w:type="table" w:customStyle="1" w:styleId="66">
    <w:name w:val="Table Normal"/>
    <w:autoRedefine/>
    <w:qFormat/>
    <w:uiPriority w:val="0"/>
    <w:tblPr>
      <w:tblCellMar>
        <w:top w:w="0" w:type="dxa"/>
        <w:left w:w="0" w:type="dxa"/>
        <w:bottom w:w="0" w:type="dxa"/>
        <w:right w:w="0" w:type="dxa"/>
      </w:tblCellMar>
    </w:tblPr>
  </w:style>
  <w:style w:type="paragraph" w:styleId="67">
    <w:name w:val="List Paragraph"/>
    <w:basedOn w:val="1"/>
    <w:autoRedefine/>
    <w:qFormat/>
    <w:uiPriority w:val="34"/>
    <w:pPr>
      <w:widowControl w:val="0"/>
      <w:ind w:firstLine="420" w:firstLineChars="200"/>
      <w:jc w:val="both"/>
    </w:pPr>
    <w:rPr>
      <w:rFonts w:ascii="Times New Roman" w:hAnsi="Times New Roman" w:cs="Times New Roman"/>
      <w:kern w:val="2"/>
      <w:sz w:val="21"/>
      <w:szCs w:val="24"/>
    </w:rPr>
  </w:style>
  <w:style w:type="paragraph" w:customStyle="1" w:styleId="68">
    <w:name w:val="目录 111"/>
    <w:basedOn w:val="1"/>
    <w:next w:val="1"/>
    <w:unhideWhenUsed/>
    <w:qFormat/>
    <w:uiPriority w:val="39"/>
    <w:pPr>
      <w:widowControl/>
      <w:spacing w:after="100" w:line="259" w:lineRule="auto"/>
      <w:jc w:val="left"/>
    </w:pPr>
    <w:rPr>
      <w:rFonts w:ascii="Calibri" w:hAnsi="Calibri"/>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5CA0C-21AA-45B6-95EF-AAC7253CAC14}">
  <ds:schemaRefs/>
</ds:datastoreItem>
</file>

<file path=docProps/app.xml><?xml version="1.0" encoding="utf-8"?>
<Properties xmlns="http://schemas.openxmlformats.org/officeDocument/2006/extended-properties" xmlns:vt="http://schemas.openxmlformats.org/officeDocument/2006/docPropsVTypes">
  <Template>Normal</Template>
  <Pages>6</Pages>
  <Words>4594</Words>
  <Characters>4798</Characters>
  <Lines>163</Lines>
  <Paragraphs>45</Paragraphs>
  <TotalTime>6</TotalTime>
  <ScaleCrop>false</ScaleCrop>
  <LinksUpToDate>false</LinksUpToDate>
  <CharactersWithSpaces>4808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2022-11-15T08:27:00Z</dcterms:created>
  <dc:creator>小夕</dc:creator>
  <cp:lastModifiedBy>心随你动</cp:lastModifiedBy>
  <cp:lastPrinted>2021-12-06T01:11:00Z</cp:lastPrinted>
  <dcterms:modified xsi:type="dcterms:W3CDTF">2024-06-06T06:40:36Z</dcterms:modified>
  <dc:title>资源与地球科学学院安全供气系统修缮项目</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920759A11489496C85AECFB653B3DDC7_13</vt:lpwstr>
  </property>
</Properties>
</file>